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B3D84" w14:paraId="346C5D4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83A5A5" w14:textId="77777777" w:rsidR="000B3D8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A76A387" w14:textId="77777777" w:rsidR="000B3D84" w:rsidRDefault="00000000">
            <w:pPr>
              <w:spacing w:after="0" w:line="240" w:lineRule="auto"/>
            </w:pPr>
            <w:r>
              <w:t>29871</w:t>
            </w:r>
          </w:p>
        </w:tc>
      </w:tr>
      <w:tr w:rsidR="000B3D84" w14:paraId="06485FF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C42D0D8" w14:textId="77777777" w:rsidR="000B3D8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A52D1D2" w14:textId="77777777" w:rsidR="000B3D84" w:rsidRDefault="00000000">
            <w:pPr>
              <w:spacing w:after="0" w:line="240" w:lineRule="auto"/>
            </w:pPr>
            <w:r>
              <w:t>OPĆINA SEGET</w:t>
            </w:r>
          </w:p>
        </w:tc>
      </w:tr>
      <w:tr w:rsidR="000B3D84" w14:paraId="1FAC780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95AE04" w14:textId="77777777" w:rsidR="000B3D8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41A6E6" w14:textId="77777777" w:rsidR="000B3D84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36869B43" w14:textId="77777777" w:rsidR="000B3D84" w:rsidRDefault="00000000">
      <w:r>
        <w:br/>
      </w:r>
    </w:p>
    <w:p w14:paraId="64FF1B93" w14:textId="77777777" w:rsidR="000B3D8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9D1C61F" w14:textId="77777777" w:rsidR="000B3D8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FAA666E" w14:textId="77777777" w:rsidR="000B3D8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7287BA0" w14:textId="77777777" w:rsidR="000B3D84" w:rsidRDefault="000B3D84"/>
    <w:p w14:paraId="671B9817" w14:textId="77777777" w:rsidR="000B3D8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8A6AB02" w14:textId="77777777" w:rsidR="000B3D8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D84" w14:paraId="15B4FA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B40D9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3857E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5299C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A22D0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63092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234EB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D84" w14:paraId="4CBB2D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AC1E2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1CD529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A92D6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FE8D8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6.390.891,30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47CCA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5.928.335,96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40E72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92,8</w:t>
            </w:r>
          </w:p>
        </w:tc>
      </w:tr>
      <w:tr w:rsidR="000B3D84" w14:paraId="0D13D9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BBBC3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F0D98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94D53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8191C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3.730.357,08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8043E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5.101.263,50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7736D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  <w:tr w:rsidR="000B3D84" w14:paraId="6ADA87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0EACC" w14:textId="77777777" w:rsidR="000B3D84" w:rsidRDefault="000B3D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C8072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878FF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669178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2.660.534,22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7A9B2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827.072,46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5EA4F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31,1</w:t>
            </w:r>
          </w:p>
        </w:tc>
      </w:tr>
      <w:tr w:rsidR="000B3D84" w14:paraId="404F5E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113E8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599F3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FE3FC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9F2D1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85.733,61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52593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F56BE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B3D84" w14:paraId="2D7889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6B6FE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712FB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FDF74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C4EC9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1.198.212,31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77992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828.563,99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F95F3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  <w:tr w:rsidR="000B3D84" w14:paraId="2178A2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2A35E" w14:textId="77777777" w:rsidR="000B3D84" w:rsidRDefault="000B3D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B20CD7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356B8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296AE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1.112.478,70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B4FC7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828.563,99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05279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74,5</w:t>
            </w:r>
          </w:p>
        </w:tc>
      </w:tr>
      <w:tr w:rsidR="000B3D84" w14:paraId="3B9FFE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D710C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B6B500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A7A18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AD44B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F1889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D310F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3D84" w14:paraId="2F7DC0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14C24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2AB1D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B4D8D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B0824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438E7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1.016.134,28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7B815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534,8</w:t>
            </w:r>
          </w:p>
        </w:tc>
      </w:tr>
      <w:tr w:rsidR="000B3D84" w14:paraId="429675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C30C0" w14:textId="77777777" w:rsidR="000B3D84" w:rsidRDefault="000B3D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6DA51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2217A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B2D2B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0C162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1.016.134,28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7A29F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534,8</w:t>
            </w:r>
          </w:p>
        </w:tc>
      </w:tr>
      <w:tr w:rsidR="000B3D84" w14:paraId="3036C1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F902D" w14:textId="77777777" w:rsidR="000B3D84" w:rsidRDefault="000B3D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AC977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FC023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AB363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0D167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1.017.625,81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E40BF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FABC963" w14:textId="77777777" w:rsidR="000B3D84" w:rsidRDefault="000B3D84">
      <w:pPr>
        <w:spacing w:after="0"/>
      </w:pPr>
    </w:p>
    <w:p w14:paraId="3C59B747" w14:textId="77777777" w:rsidR="000B3D84" w:rsidRDefault="00000000">
      <w:r>
        <w:t>U razdoblju od 01. siječnja do 31. prosinca 2025. godine prihodi poslovanja ostvareni su u iznosu od 5.928.335,96 eura. Najznačajnije povećanje prihoda poslovanja ostvareno je od pomoći iz županijskog i državnog proračuna.</w:t>
      </w:r>
    </w:p>
    <w:p w14:paraId="58D8F03D" w14:textId="77777777" w:rsidR="000B3D84" w:rsidRDefault="00000000">
      <w:r>
        <w:t xml:space="preserve">Rashodi poslovanja u razdoblju od 01. siječnja do 31. prosinca 2025. godine ostvareni su u iznosu 5.101.263,50 eura. Najznačajnije povećanja rashoda evidentirano je na materijalnim rashodima najviše zbog povećanja cijena roba i usluga.  U navedenom razdoblju ostvareni su </w:t>
      </w:r>
      <w:r>
        <w:lastRenderedPageBreak/>
        <w:t xml:space="preserve">rashodi za nabavu nefinancijske imovine u iznosu 828.563,99 eura i odnose se na ulaganje u građevinske objekte u iznosu 705.377,39 (najznačajnija ulaganja: Područna škola kralja Zvonimira u </w:t>
      </w:r>
      <w:proofErr w:type="spellStart"/>
      <w:r>
        <w:t>Bristivici</w:t>
      </w:r>
      <w:proofErr w:type="spellEnd"/>
      <w:r>
        <w:t xml:space="preserve"> 64.916,85 eura, cesta kralja Zvonimira i Hrvatskog križnog puta u iznosu od 273.189,50 eura, dokumentacija za šport i rekreaciju 84.449,31 euro, izgradnja javne rasvjete 160.692,33 eura),  te postrojenja i opremu u iznosu od 107.024,50 eura (najznačajnija ulaganja: oprema za DV Seget 22.348,75 eura, mobilno </w:t>
      </w:r>
      <w:proofErr w:type="spellStart"/>
      <w:r>
        <w:t>reciklažno</w:t>
      </w:r>
      <w:proofErr w:type="spellEnd"/>
      <w:r>
        <w:t xml:space="preserve"> dvorište, i oprema za vijećnicu i ostalo u iznosu 51.332,50 eura), i u prijevozno sredstvo za DV Seget u iznosu od 12.812,50 eura .</w:t>
      </w:r>
    </w:p>
    <w:p w14:paraId="15853F03" w14:textId="77777777" w:rsidR="000B3D84" w:rsidRDefault="00000000">
      <w:r>
        <w:t> U navedenom razdoblju nije bilo primitaka od financijske imovine i zaduživanja dok su izdaci iznosili 1.016.134,28 eura i odnose se na danu pozajmicu komunalnom društvu Zeleni Seget  u iznosu od 900.875,00 eura i otplata glavnice kredita u iznosu od 115.259,28 eura.</w:t>
      </w:r>
    </w:p>
    <w:p w14:paraId="33CF0A51" w14:textId="77777777" w:rsidR="000B3D84" w:rsidRDefault="00000000">
      <w:r>
        <w:t>U razdoblju od 01. siječnja do 31. prosinca 2025. godine ostvaren je višak  prihoda poslovanja u iznosu  827.072,46 eura, manjak prihoda od nefinancijske imovine u iznosu 828.563,99 eura i manjak primitaka od financijske imovine u iznosu od 1.016.134,28 eura, slijedom čega ja na kraju izvještajnog razdoblja ostvaren ukupan manjak prihoda i primitaka u iznosu od 1.017.625,81 eura što uz preneseni višak prihoda i primitaka u iznosu 3.560.943,32 eura čini ukupan višak prihoda i primitaka za prijenos u slijedeće razdoblje u iznosu 2.543.317,51 eura.</w:t>
      </w:r>
    </w:p>
    <w:p w14:paraId="28CB900E" w14:textId="77777777" w:rsidR="000B3D84" w:rsidRDefault="00000000">
      <w:r>
        <w:br/>
      </w:r>
    </w:p>
    <w:p w14:paraId="24623FA1" w14:textId="77777777" w:rsidR="000B3D8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82FD575" w14:textId="77777777" w:rsidR="000B3D8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3D84" w14:paraId="2D7515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CDEC5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AE950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548F3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C7687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C1A99" w14:textId="77777777" w:rsidR="000B3D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D84" w14:paraId="0649A9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F343D" w14:textId="77777777" w:rsidR="000B3D84" w:rsidRDefault="000B3D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43FF5E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8B90C" w14:textId="77777777" w:rsidR="000B3D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003E2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332.032,60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1DF21" w14:textId="77777777" w:rsidR="000B3D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F32D59" w14:textId="77777777" w:rsidR="000B3D84" w:rsidRDefault="000B3D84">
      <w:pPr>
        <w:spacing w:after="0"/>
      </w:pPr>
    </w:p>
    <w:p w14:paraId="561FA3FF" w14:textId="77777777" w:rsidR="000B3D84" w:rsidRDefault="00000000">
      <w:r>
        <w:t>Stanje dospjelih obveza na kraju izvještajnog razdoblja iznose 332.032,62 eura. Najveći dio obveza se odnosi na materijalne rashode u iznosu 287.798,96 eura za tekuće rashode poslovanja. Obveze za tekuće financijske rashode iznose 763,16 eura prema poslovnoj banci, a dok obveze za subvencije iznose 672,93 eura prema javnom prijevozniku, dok se 29.976,93 eura odnose na DVD Seget Vranjica. Do predaje ovog izvještaja većina obveza je podmirena.</w:t>
      </w:r>
    </w:p>
    <w:p w14:paraId="16E3405C" w14:textId="77777777" w:rsidR="000B3D84" w:rsidRDefault="000B3D84"/>
    <w:p w14:paraId="2728D148" w14:textId="77777777" w:rsidR="000B3D8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63F1720C" w14:textId="4F8A81E3" w:rsidR="000B3D84" w:rsidRDefault="00000000">
      <w:pPr>
        <w:spacing w:line="240" w:lineRule="auto"/>
        <w:jc w:val="both"/>
      </w:pPr>
      <w:r>
        <w:rPr>
          <w:b/>
        </w:rPr>
        <w:t>Unutar</w:t>
      </w:r>
      <w:r w:rsidR="00823929">
        <w:rPr>
          <w:b/>
        </w:rPr>
        <w:t xml:space="preserve"> </w:t>
      </w:r>
      <w:r>
        <w:rPr>
          <w:b/>
        </w:rPr>
        <w:t>grupne transakcije koje su u izvještajima eliminirane</w:t>
      </w:r>
    </w:p>
    <w:p w14:paraId="40B12DB8" w14:textId="0FA5C5A6" w:rsidR="000B3D84" w:rsidRDefault="00000000">
      <w:r>
        <w:t>El</w:t>
      </w:r>
      <w:r w:rsidR="00823929">
        <w:t>i</w:t>
      </w:r>
      <w:r>
        <w:t>minirani su prijenosi proračunskom korisniku Dječji vrtić s računima 367 i 671 u iznosu od 825.882,29 eura. Korisnik je prenio sredstva na račun Općine zbog uvođenja riznice u iznosu 4.293,52 eura te se isti eliminira s računa 274110 i 167210.</w:t>
      </w:r>
    </w:p>
    <w:p w14:paraId="6833D33E" w14:textId="77777777" w:rsidR="000B3D84" w:rsidRDefault="000B3D84"/>
    <w:p w14:paraId="273BE4D7" w14:textId="77777777" w:rsidR="000B3D8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3FC6D47D" w14:textId="77777777" w:rsidR="000B3D84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49D284B8" w14:textId="77777777" w:rsidR="000B3D84" w:rsidRDefault="00000000">
      <w:r>
        <w:t>U izvještajnom razdoblju ostvaren je manjak proračunskog korisnika Dječji vrtić u iznosu 58.469,40 eura. Manjak proračunskog korisnika se odnosi najvećim djelom zbog knjiženja plaće za 12/2025 koja je ustvari 13 plaća u 2025 godini. Na nadležnom proračunu Općini Seget ostvaren je višak u iznosu od 2.601.786,91 eura. </w:t>
      </w:r>
    </w:p>
    <w:p w14:paraId="2C3A615C" w14:textId="77777777" w:rsidR="000B3D84" w:rsidRDefault="000B3D84"/>
    <w:sectPr w:rsidR="000B3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D84"/>
    <w:rsid w:val="00080D90"/>
    <w:rsid w:val="000B3D84"/>
    <w:rsid w:val="0082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38E4"/>
  <w15:docId w15:val="{D7EE95BF-4B13-4498-84A3-2D8E35C0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2026-03-05T07:02:00Z</dcterms:created>
  <dcterms:modified xsi:type="dcterms:W3CDTF">2026-03-05T07:02:00Z</dcterms:modified>
</cp:coreProperties>
</file>