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2346" w:rsidRPr="003D2346" w:rsidRDefault="003D2346" w:rsidP="003D2346">
      <w:pPr>
        <w:spacing w:after="0" w:line="240" w:lineRule="auto"/>
        <w:rPr>
          <w:rFonts w:ascii="Times New Roman" w:eastAsia="Calibri" w:hAnsi="Times New Roman" w:cs="Times New Roman"/>
          <w:sz w:val="24"/>
          <w:szCs w:val="24"/>
          <w:lang w:val="hr-HR"/>
        </w:rPr>
      </w:pPr>
    </w:p>
    <w:p w:rsidR="003D2346" w:rsidRPr="003D2346" w:rsidRDefault="003D2346" w:rsidP="003D2346">
      <w:pPr>
        <w:spacing w:after="160" w:line="259" w:lineRule="auto"/>
        <w:jc w:val="both"/>
        <w:rPr>
          <w:rFonts w:ascii="Arial" w:eastAsia="Calibri" w:hAnsi="Arial" w:cs="Arial"/>
          <w:color w:val="000000"/>
          <w:sz w:val="20"/>
          <w:szCs w:val="20"/>
          <w:lang w:val="hr-HR"/>
        </w:rPr>
      </w:pPr>
      <w:r w:rsidRPr="003D2346">
        <w:rPr>
          <w:rFonts w:ascii="Times New Roman" w:eastAsia="Calibri" w:hAnsi="Times New Roman" w:cs="Times New Roman"/>
          <w:sz w:val="24"/>
          <w:szCs w:val="24"/>
          <w:lang w:val="hr-HR"/>
        </w:rPr>
        <w:t>Na temelju odredbi članka 89., 163. i 168. Zakona o proračunu (“Narodne novine” broj 144/21.), Pravilnika o polugodišnjem i godišnjem izvještaju o izvršenju proračuna („Narodne novine“ broj 24/13, 102/17, 1/20. i 147/20.) te članaka 28. i 44. Statuta Općine Seget („Službeni glasnik Općine Seget“, br. 4/09, 5/09, 4/10 i 1/13), Općinsko vijeće Općine Seget na 15. sjednici održanoj 29. svibanj 2023. godine, donijelo je</w:t>
      </w:r>
    </w:p>
    <w:p w:rsidR="003D2346" w:rsidRPr="003D2346" w:rsidRDefault="003D2346" w:rsidP="003D2346">
      <w:pPr>
        <w:autoSpaceDE w:val="0"/>
        <w:autoSpaceDN w:val="0"/>
        <w:adjustRightInd w:val="0"/>
        <w:spacing w:after="0" w:line="240" w:lineRule="auto"/>
        <w:rPr>
          <w:rFonts w:ascii="Arial" w:eastAsia="Calibri" w:hAnsi="Arial" w:cs="Arial"/>
          <w:b/>
          <w:bCs/>
          <w:color w:val="000000"/>
          <w:sz w:val="20"/>
          <w:szCs w:val="20"/>
          <w:lang w:val="hr-HR"/>
        </w:rPr>
      </w:pPr>
    </w:p>
    <w:p w:rsidR="003D2346" w:rsidRPr="003D2346" w:rsidRDefault="003D2346" w:rsidP="003D2346">
      <w:pPr>
        <w:autoSpaceDE w:val="0"/>
        <w:autoSpaceDN w:val="0"/>
        <w:adjustRightInd w:val="0"/>
        <w:spacing w:after="0" w:line="240" w:lineRule="auto"/>
        <w:jc w:val="center"/>
        <w:rPr>
          <w:rFonts w:ascii="Times New Roman" w:eastAsia="Calibri" w:hAnsi="Times New Roman" w:cs="Times New Roman"/>
          <w:color w:val="000000"/>
          <w:sz w:val="20"/>
          <w:szCs w:val="20"/>
          <w:lang w:val="hr-HR"/>
        </w:rPr>
      </w:pPr>
      <w:r w:rsidRPr="003D2346">
        <w:rPr>
          <w:rFonts w:ascii="Times New Roman" w:eastAsia="Calibri" w:hAnsi="Times New Roman" w:cs="Times New Roman"/>
          <w:b/>
          <w:bCs/>
          <w:color w:val="000000"/>
          <w:sz w:val="20"/>
          <w:szCs w:val="20"/>
          <w:lang w:val="hr-HR"/>
        </w:rPr>
        <w:t>GODIŠNJI IZVJEŠTAJ</w:t>
      </w:r>
    </w:p>
    <w:p w:rsidR="003D2346" w:rsidRPr="003D2346" w:rsidRDefault="003D2346" w:rsidP="003D2346">
      <w:pPr>
        <w:autoSpaceDE w:val="0"/>
        <w:autoSpaceDN w:val="0"/>
        <w:adjustRightInd w:val="0"/>
        <w:spacing w:after="0" w:line="240" w:lineRule="auto"/>
        <w:jc w:val="center"/>
        <w:rPr>
          <w:rFonts w:ascii="Times New Roman" w:eastAsia="Calibri" w:hAnsi="Times New Roman" w:cs="Times New Roman"/>
          <w:color w:val="000000"/>
          <w:sz w:val="20"/>
          <w:szCs w:val="20"/>
          <w:lang w:val="hr-HR"/>
        </w:rPr>
      </w:pPr>
      <w:r w:rsidRPr="003D2346">
        <w:rPr>
          <w:rFonts w:ascii="Times New Roman" w:eastAsia="Calibri" w:hAnsi="Times New Roman" w:cs="Times New Roman"/>
          <w:b/>
          <w:bCs/>
          <w:color w:val="000000"/>
          <w:sz w:val="20"/>
          <w:szCs w:val="20"/>
          <w:lang w:val="hr-HR"/>
        </w:rPr>
        <w:t>O IZVRŠENJU PRORAČUNA OPĆINE SEGET</w:t>
      </w:r>
    </w:p>
    <w:p w:rsidR="003D2346" w:rsidRPr="003D2346" w:rsidRDefault="003D2346" w:rsidP="003D2346">
      <w:pPr>
        <w:autoSpaceDE w:val="0"/>
        <w:autoSpaceDN w:val="0"/>
        <w:adjustRightInd w:val="0"/>
        <w:spacing w:after="0" w:line="240" w:lineRule="auto"/>
        <w:jc w:val="center"/>
        <w:rPr>
          <w:rFonts w:ascii="Times New Roman" w:eastAsia="Calibri" w:hAnsi="Times New Roman" w:cs="Times New Roman"/>
          <w:b/>
          <w:bCs/>
          <w:color w:val="000000"/>
          <w:sz w:val="20"/>
          <w:szCs w:val="20"/>
          <w:lang w:val="hr-HR"/>
        </w:rPr>
      </w:pPr>
    </w:p>
    <w:p w:rsidR="003D2346" w:rsidRPr="003D2346" w:rsidRDefault="003D2346" w:rsidP="003D2346">
      <w:pPr>
        <w:autoSpaceDE w:val="0"/>
        <w:autoSpaceDN w:val="0"/>
        <w:adjustRightInd w:val="0"/>
        <w:spacing w:after="0" w:line="240" w:lineRule="auto"/>
        <w:jc w:val="center"/>
        <w:rPr>
          <w:rFonts w:ascii="Times New Roman" w:eastAsia="Calibri" w:hAnsi="Times New Roman" w:cs="Times New Roman"/>
          <w:color w:val="000000"/>
          <w:sz w:val="20"/>
          <w:szCs w:val="20"/>
          <w:lang w:val="hr-HR"/>
        </w:rPr>
      </w:pPr>
      <w:r w:rsidRPr="003D2346">
        <w:rPr>
          <w:rFonts w:ascii="Times New Roman" w:eastAsia="Calibri" w:hAnsi="Times New Roman" w:cs="Times New Roman"/>
          <w:b/>
          <w:bCs/>
          <w:color w:val="000000"/>
          <w:sz w:val="20"/>
          <w:szCs w:val="20"/>
          <w:lang w:val="hr-HR"/>
        </w:rPr>
        <w:t>za razdoblje od 01. siječnja do 31. prosinca 2022. godine</w:t>
      </w:r>
    </w:p>
    <w:p w:rsidR="003D2346" w:rsidRPr="003D2346" w:rsidRDefault="003D2346" w:rsidP="003D2346">
      <w:pPr>
        <w:autoSpaceDE w:val="0"/>
        <w:autoSpaceDN w:val="0"/>
        <w:adjustRightInd w:val="0"/>
        <w:spacing w:after="0" w:line="240" w:lineRule="auto"/>
        <w:jc w:val="center"/>
        <w:rPr>
          <w:rFonts w:ascii="Arial" w:eastAsia="Calibri" w:hAnsi="Arial" w:cs="Arial"/>
          <w:b/>
          <w:bCs/>
          <w:color w:val="000000"/>
          <w:sz w:val="20"/>
          <w:szCs w:val="20"/>
          <w:lang w:val="hr-HR"/>
        </w:rPr>
      </w:pPr>
    </w:p>
    <w:p w:rsidR="003D2346" w:rsidRPr="003D2346" w:rsidRDefault="003D2346" w:rsidP="003D2346">
      <w:pPr>
        <w:autoSpaceDE w:val="0"/>
        <w:autoSpaceDN w:val="0"/>
        <w:adjustRightInd w:val="0"/>
        <w:spacing w:after="0" w:line="240" w:lineRule="auto"/>
        <w:jc w:val="center"/>
        <w:rPr>
          <w:rFonts w:ascii="Arial" w:eastAsia="Calibri" w:hAnsi="Arial" w:cs="Arial"/>
          <w:b/>
          <w:bCs/>
          <w:color w:val="000000"/>
          <w:sz w:val="20"/>
          <w:szCs w:val="20"/>
          <w:lang w:val="hr-HR"/>
        </w:rPr>
      </w:pPr>
    </w:p>
    <w:p w:rsidR="003D2346" w:rsidRPr="003D2346" w:rsidRDefault="003D2346" w:rsidP="003D2346">
      <w:pPr>
        <w:autoSpaceDE w:val="0"/>
        <w:autoSpaceDN w:val="0"/>
        <w:adjustRightInd w:val="0"/>
        <w:spacing w:after="0" w:line="240" w:lineRule="auto"/>
        <w:jc w:val="center"/>
        <w:rPr>
          <w:rFonts w:ascii="Times New Roman" w:eastAsia="Calibri" w:hAnsi="Times New Roman" w:cs="Times New Roman"/>
          <w:color w:val="000000"/>
          <w:sz w:val="24"/>
          <w:szCs w:val="24"/>
          <w:lang w:val="hr-HR"/>
        </w:rPr>
      </w:pPr>
      <w:r w:rsidRPr="003D2346">
        <w:rPr>
          <w:rFonts w:ascii="Times New Roman" w:eastAsia="Calibri" w:hAnsi="Times New Roman" w:cs="Times New Roman"/>
          <w:b/>
          <w:bCs/>
          <w:color w:val="000000"/>
          <w:sz w:val="24"/>
          <w:szCs w:val="24"/>
          <w:lang w:val="hr-HR"/>
        </w:rPr>
        <w:t>Članak 1.</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Godišnji izvještaj o izvršenju Proračuna Općine Seget sastavlja se za razdoblje od 01. siječnja do 31. prosinca 2022. godine, a Proračun Općine Seget za 2022. godinu („Službene novine Općine Seget“ broj 9/21, 7/22. i 13/22.) ostvaren je kako slijedi:</w:t>
      </w:r>
    </w:p>
    <w:p w:rsidR="003D2346" w:rsidRPr="003D2346" w:rsidRDefault="003D2346" w:rsidP="003D2346">
      <w:pPr>
        <w:autoSpaceDE w:val="0"/>
        <w:autoSpaceDN w:val="0"/>
        <w:adjustRightInd w:val="0"/>
        <w:spacing w:after="0" w:line="240" w:lineRule="auto"/>
        <w:jc w:val="center"/>
        <w:rPr>
          <w:rFonts w:ascii="Arial" w:eastAsia="Calibri" w:hAnsi="Arial" w:cs="Arial"/>
          <w:b/>
          <w:bCs/>
          <w:color w:val="000000"/>
          <w:sz w:val="20"/>
          <w:szCs w:val="20"/>
          <w:lang w:val="hr-HR"/>
        </w:rPr>
      </w:pPr>
    </w:p>
    <w:p w:rsidR="003D2346" w:rsidRPr="003D2346" w:rsidRDefault="003D2346" w:rsidP="003D2346">
      <w:pPr>
        <w:autoSpaceDE w:val="0"/>
        <w:autoSpaceDN w:val="0"/>
        <w:adjustRightInd w:val="0"/>
        <w:spacing w:after="0" w:line="240" w:lineRule="auto"/>
        <w:jc w:val="center"/>
        <w:rPr>
          <w:rFonts w:ascii="Arial" w:eastAsia="Calibri" w:hAnsi="Arial" w:cs="Arial"/>
          <w:b/>
          <w:bCs/>
          <w:color w:val="000000"/>
          <w:sz w:val="20"/>
          <w:szCs w:val="20"/>
          <w:lang w:val="hr-HR"/>
        </w:rPr>
      </w:pPr>
    </w:p>
    <w:tbl>
      <w:tblPr>
        <w:tblW w:w="106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276"/>
        <w:gridCol w:w="1240"/>
        <w:gridCol w:w="1240"/>
        <w:gridCol w:w="1240"/>
        <w:gridCol w:w="848"/>
        <w:gridCol w:w="848"/>
      </w:tblGrid>
      <w:tr w:rsidR="003D2346" w:rsidRPr="003D2346" w:rsidTr="008D5134">
        <w:trPr>
          <w:trHeight w:val="264"/>
        </w:trPr>
        <w:tc>
          <w:tcPr>
            <w:tcW w:w="397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Račun / opis</w:t>
            </w:r>
          </w:p>
        </w:tc>
        <w:tc>
          <w:tcPr>
            <w:tcW w:w="1276"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2021.</w:t>
            </w:r>
          </w:p>
        </w:tc>
        <w:tc>
          <w:tcPr>
            <w:tcW w:w="124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124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plan 2022.</w:t>
            </w:r>
          </w:p>
        </w:tc>
        <w:tc>
          <w:tcPr>
            <w:tcW w:w="124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84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4/1</w:t>
            </w:r>
          </w:p>
        </w:tc>
        <w:tc>
          <w:tcPr>
            <w:tcW w:w="84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4/3</w:t>
            </w:r>
          </w:p>
        </w:tc>
      </w:tr>
      <w:tr w:rsidR="003D2346" w:rsidRPr="003D2346" w:rsidTr="008D5134">
        <w:trPr>
          <w:trHeight w:val="264"/>
        </w:trPr>
        <w:tc>
          <w:tcPr>
            <w:tcW w:w="397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A. RAČUN PRIHODA I RASHODA</w:t>
            </w:r>
          </w:p>
        </w:tc>
        <w:tc>
          <w:tcPr>
            <w:tcW w:w="1276"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1</w:t>
            </w:r>
          </w:p>
        </w:tc>
        <w:tc>
          <w:tcPr>
            <w:tcW w:w="1240"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w:t>
            </w:r>
          </w:p>
        </w:tc>
        <w:tc>
          <w:tcPr>
            <w:tcW w:w="1240"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3</w:t>
            </w:r>
          </w:p>
        </w:tc>
        <w:tc>
          <w:tcPr>
            <w:tcW w:w="1240"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4</w:t>
            </w:r>
          </w:p>
        </w:tc>
        <w:tc>
          <w:tcPr>
            <w:tcW w:w="848"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5</w:t>
            </w:r>
          </w:p>
        </w:tc>
        <w:tc>
          <w:tcPr>
            <w:tcW w:w="848"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 Prihodi poslovanja                                                                                  </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29.797.725,27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40.162.731,00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27.670.130,00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28.746.479,60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96,47%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103,89%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7 Prihodi od prodaje nefinancijske imovine                                                            </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8.547.500,00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44,20%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 UKUPNI PRIHODI</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30.582.725,27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48.710.231,00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27.990.130,00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29.093.479,60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95,13%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103,94%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 Rashodi poslovanja                                                                                  </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23.063.102,58</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26.774.170,00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19.843.195,07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16.897.704,96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73,27%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85,16%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 Rashodi za nabavu nefinancijske imovine                                                             </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10.520.362,63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22.063.433,00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6.362.465,93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3.435.089,36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32,65%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53,99%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 UKUPNI RASHODI</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33.583.465,21</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48.837.603,00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26.205.661,00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20.332.794,32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60,54%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77,59%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 VIŠAK / MANJAK</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-3.000.739,94</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-127.372,00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1.784.469,00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8.760.685,28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-291,95%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490,94%</w:t>
            </w:r>
          </w:p>
        </w:tc>
      </w:tr>
      <w:tr w:rsidR="003D2346" w:rsidRPr="003D2346" w:rsidTr="008D5134">
        <w:trPr>
          <w:trHeight w:val="264"/>
        </w:trPr>
        <w:tc>
          <w:tcPr>
            <w:tcW w:w="397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B. RAČUN ZADUŽIVANJA / FINANCIRANJA</w:t>
            </w:r>
          </w:p>
        </w:tc>
        <w:tc>
          <w:tcPr>
            <w:tcW w:w="1276"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124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124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124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848"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848"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8 Primici od financijske imovine i zaduživanja                                                        </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5 Izdaci za financijsku imovinu i otplate zajmova                                                     </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848"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 NETO ZADUŽIVANJE</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 UKUPNI DONOS VIŠKA / MANJKA IZ PRETHODNE(IH) GODINA</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848"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 VIŠAK / MANJAK IZ PRETHODNE(IH) GODINE KOJI ĆE SE POKRITI / RASPOREDITI</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127.372,00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-3.284.469,00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3.399.403.88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VIŠAK / MANJAK + NETO ZADUŽIVANJE / FINANCIRANJE + KORIŠTENO U PRETHODNIM GODINAMA</w:t>
            </w:r>
          </w:p>
        </w:tc>
        <w:tc>
          <w:tcPr>
            <w:tcW w:w="1276"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124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124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124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848"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848"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 REZULTAT GODINE</w:t>
            </w:r>
          </w:p>
        </w:tc>
        <w:tc>
          <w:tcPr>
            <w:tcW w:w="1276"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-3.000.739,94</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5.476.217,00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-291,95%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bl>
    <w:p w:rsidR="003D2346" w:rsidRPr="003D2346" w:rsidRDefault="003D2346" w:rsidP="003D2346">
      <w:pPr>
        <w:autoSpaceDE w:val="0"/>
        <w:autoSpaceDN w:val="0"/>
        <w:adjustRightInd w:val="0"/>
        <w:spacing w:after="0" w:line="240" w:lineRule="auto"/>
        <w:rPr>
          <w:rFonts w:ascii="Arial" w:eastAsia="Calibri" w:hAnsi="Arial" w:cs="Arial"/>
          <w:b/>
          <w:bCs/>
          <w:color w:val="000000"/>
          <w:sz w:val="20"/>
          <w:szCs w:val="20"/>
          <w:lang w:val="hr-HR"/>
        </w:rPr>
      </w:pPr>
    </w:p>
    <w:p w:rsidR="003D2346" w:rsidRPr="003D2346" w:rsidRDefault="003D2346" w:rsidP="003D2346">
      <w:pPr>
        <w:autoSpaceDE w:val="0"/>
        <w:autoSpaceDN w:val="0"/>
        <w:adjustRightInd w:val="0"/>
        <w:spacing w:after="0" w:line="240" w:lineRule="auto"/>
        <w:jc w:val="center"/>
        <w:rPr>
          <w:rFonts w:ascii="Arial" w:eastAsia="Calibri" w:hAnsi="Arial" w:cs="Arial"/>
          <w:b/>
          <w:bCs/>
          <w:color w:val="000000"/>
          <w:sz w:val="20"/>
          <w:szCs w:val="20"/>
          <w:lang w:val="hr-HR"/>
        </w:rPr>
      </w:pPr>
    </w:p>
    <w:p w:rsidR="003D2346" w:rsidRPr="003D2346" w:rsidRDefault="003D2346" w:rsidP="003D2346">
      <w:pPr>
        <w:autoSpaceDE w:val="0"/>
        <w:autoSpaceDN w:val="0"/>
        <w:adjustRightInd w:val="0"/>
        <w:spacing w:after="0" w:line="240" w:lineRule="auto"/>
        <w:jc w:val="center"/>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Članak 2.</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Rezultat poslovanja u 2022. godini u iznosu od 8.760.685,28 kn umanjio se za manjak prihoda i primitaka prenesenih iz prethodne godine u iznosu od 3.399.403.88 kn. Ukupan višak prihoda poslovanja raspoloživ u narednom proračunskim razdoblju u 2023 godini je 5.476.217,60 kn.</w:t>
      </w:r>
    </w:p>
    <w:p w:rsidR="003D2346" w:rsidRPr="003D2346" w:rsidRDefault="003D2346" w:rsidP="003D2346">
      <w:pPr>
        <w:autoSpaceDE w:val="0"/>
        <w:autoSpaceDN w:val="0"/>
        <w:adjustRightInd w:val="0"/>
        <w:spacing w:after="0" w:line="240" w:lineRule="auto"/>
        <w:jc w:val="center"/>
        <w:rPr>
          <w:rFonts w:ascii="Times New Roman" w:eastAsia="Calibri" w:hAnsi="Times New Roman" w:cs="Times New Roman"/>
          <w:sz w:val="24"/>
          <w:szCs w:val="24"/>
          <w:lang w:val="hr-HR"/>
        </w:rPr>
      </w:pPr>
    </w:p>
    <w:p w:rsidR="003D2346" w:rsidRPr="003D2346" w:rsidRDefault="003D2346" w:rsidP="003D2346">
      <w:pPr>
        <w:autoSpaceDE w:val="0"/>
        <w:autoSpaceDN w:val="0"/>
        <w:adjustRightInd w:val="0"/>
        <w:spacing w:after="0" w:line="240" w:lineRule="auto"/>
        <w:jc w:val="center"/>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Članak 3.</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Godišnji izvještaj o izvršenju proračuna sadrži Opći i Posebni dio, obrazloženje i posebne izvještaje. </w:t>
      </w:r>
    </w:p>
    <w:p w:rsidR="003D2346" w:rsidRPr="003D2346" w:rsidRDefault="003D2346" w:rsidP="003D2346">
      <w:pPr>
        <w:autoSpaceDE w:val="0"/>
        <w:autoSpaceDN w:val="0"/>
        <w:adjustRightInd w:val="0"/>
        <w:spacing w:after="0" w:line="240" w:lineRule="auto"/>
        <w:rPr>
          <w:rFonts w:ascii="Times New Roman" w:eastAsia="Calibri" w:hAnsi="Times New Roman" w:cs="Times New Roman"/>
          <w:sz w:val="24"/>
          <w:szCs w:val="24"/>
          <w:lang w:val="hr-HR"/>
        </w:rPr>
      </w:pP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Opći dio godišnjeg izvještaja sadrži: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Sažetak Računa prihoda i rashoda, Računa financiranja i Raspoloživih sredstava prethodnih godina (preneseni višak ili manjak)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A. Račun prihoda i rashoda koji se sastoji od: </w:t>
      </w:r>
    </w:p>
    <w:p w:rsidR="003D2346" w:rsidRPr="003D2346" w:rsidRDefault="003D2346" w:rsidP="003D2346">
      <w:pPr>
        <w:autoSpaceDE w:val="0"/>
        <w:autoSpaceDN w:val="0"/>
        <w:adjustRightInd w:val="0"/>
        <w:spacing w:after="0" w:line="240" w:lineRule="auto"/>
        <w:ind w:left="708"/>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Prihoda i rashoda prema ekonomskoj klasifikaciji </w:t>
      </w:r>
    </w:p>
    <w:p w:rsidR="003D2346" w:rsidRPr="003D2346" w:rsidRDefault="003D2346" w:rsidP="003D2346">
      <w:pPr>
        <w:autoSpaceDE w:val="0"/>
        <w:autoSpaceDN w:val="0"/>
        <w:adjustRightInd w:val="0"/>
        <w:spacing w:after="0" w:line="240" w:lineRule="auto"/>
        <w:ind w:left="708"/>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Prihoda i rashoda prema izvorima financiranja </w:t>
      </w:r>
    </w:p>
    <w:p w:rsidR="003D2346" w:rsidRPr="003D2346" w:rsidRDefault="003D2346" w:rsidP="003D2346">
      <w:pPr>
        <w:autoSpaceDE w:val="0"/>
        <w:autoSpaceDN w:val="0"/>
        <w:adjustRightInd w:val="0"/>
        <w:spacing w:after="0" w:line="240" w:lineRule="auto"/>
        <w:ind w:left="708"/>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Rashoda prema funkcijskoj klasifikaciji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B. Račun financiranja koji se sastoji od: </w:t>
      </w:r>
    </w:p>
    <w:p w:rsidR="003D2346" w:rsidRPr="003D2346" w:rsidRDefault="003D2346" w:rsidP="003D2346">
      <w:pPr>
        <w:autoSpaceDE w:val="0"/>
        <w:autoSpaceDN w:val="0"/>
        <w:adjustRightInd w:val="0"/>
        <w:spacing w:after="0" w:line="240" w:lineRule="auto"/>
        <w:ind w:left="708"/>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lastRenderedPageBreak/>
        <w:t xml:space="preserve">- Primitaka i izdataka prema ekonomskoj klasifikaciji (uz koji se daje i analitički prikaz ostvarenih primitaka i izdataka po svakom pojedinačnom zajmu, kreditu, vrijednosnom papiru) </w:t>
      </w:r>
    </w:p>
    <w:p w:rsidR="003D2346" w:rsidRPr="003D2346" w:rsidRDefault="003D2346" w:rsidP="003D2346">
      <w:pPr>
        <w:autoSpaceDE w:val="0"/>
        <w:autoSpaceDN w:val="0"/>
        <w:adjustRightInd w:val="0"/>
        <w:spacing w:after="0" w:line="240" w:lineRule="auto"/>
        <w:ind w:left="708"/>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Primitaka i izdataka prema izvorima financiranja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Posebni dio godišnjeg izvještaja sadrži izvršenje rashoda i izdataka proračuna i proračunskih korisnika iskazanih po organizacijskoj klasifikaciji, izvorima financiranja i ekonomskoj klasifikaciji, raspoređenih u programe koji se sastoje od aktivnosti i projekata.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Podatke iz Općeg i Posebnog dijela Proračuna dopunjuju posebni izvještaji te obrazloženja ostvarenja prihoda i primitaka, rashoda i izdataka, prikaz viška ili manjka proračuna te obrazloženja izvršenja programa iz posebnog dijela proračuna s ciljevima koji su ostvareni provedbom programa i pokazateljima uspješnosti realizacije tih ciljeva.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Posebni izvještaji koji se prilažu ovom godišnjem izvještaju o izvršenju proračuna su i čine ga potpunim su: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Izvještaj o zaduživanju na domaćem i stranom tržištu novca i kapitala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Izvještaj o stanju potraživanja i dospjelih obveza te stanju potencijalnih obveza po osnovi sudskih sporova.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Izvještaj o korištenju proračunske zalihe,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Izvještaj o korištenju sredstava fondova Europske unije,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Izvještaj o danim zajmovima i potraživanjima po danim zajmovima, </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Izvještaj o danim jamstvima i plaćanjima po protestiranim jamstvima, </w:t>
      </w:r>
    </w:p>
    <w:p w:rsidR="003D2346" w:rsidRPr="003D2346" w:rsidRDefault="003D2346" w:rsidP="003D2346">
      <w:pPr>
        <w:autoSpaceDE w:val="0"/>
        <w:autoSpaceDN w:val="0"/>
        <w:adjustRightInd w:val="0"/>
        <w:spacing w:after="0" w:line="240" w:lineRule="auto"/>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w:t>
      </w:r>
    </w:p>
    <w:p w:rsidR="003D2346" w:rsidRPr="003D2346" w:rsidRDefault="003D2346" w:rsidP="003D2346">
      <w:pPr>
        <w:autoSpaceDE w:val="0"/>
        <w:autoSpaceDN w:val="0"/>
        <w:adjustRightInd w:val="0"/>
        <w:spacing w:after="0" w:line="240" w:lineRule="auto"/>
        <w:jc w:val="center"/>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Članak 4.</w:t>
      </w:r>
    </w:p>
    <w:p w:rsidR="003D2346" w:rsidRPr="003D2346" w:rsidRDefault="003D2346" w:rsidP="003D2346">
      <w:pPr>
        <w:autoSpaceDE w:val="0"/>
        <w:autoSpaceDN w:val="0"/>
        <w:adjustRightInd w:val="0"/>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Godišnji izvještaj o izvršenju Proračuna Općine Seget u cjelini objavljuje se na internetskim stranicama Općine Seget, a Opći i Posebni dio Godišnjeg izvještaja o izvršenju Proračuna Općine Seget objavljuju se u „Službenom glasniku Općine Seget“. </w:t>
      </w:r>
    </w:p>
    <w:p w:rsidR="003D2346" w:rsidRPr="003D2346" w:rsidRDefault="003D2346" w:rsidP="003D2346">
      <w:pPr>
        <w:autoSpaceDE w:val="0"/>
        <w:autoSpaceDN w:val="0"/>
        <w:adjustRightInd w:val="0"/>
        <w:spacing w:after="0" w:line="240" w:lineRule="auto"/>
        <w:rPr>
          <w:rFonts w:ascii="Times New Roman" w:eastAsia="Calibri" w:hAnsi="Times New Roman" w:cs="Times New Roman"/>
          <w:sz w:val="24"/>
          <w:szCs w:val="24"/>
          <w:lang w:val="hr-HR"/>
        </w:rPr>
      </w:pPr>
    </w:p>
    <w:p w:rsidR="003D2346" w:rsidRPr="003D2346" w:rsidRDefault="003D2346" w:rsidP="003D2346">
      <w:pPr>
        <w:spacing w:after="160" w:line="259" w:lineRule="auto"/>
        <w:jc w:val="center"/>
        <w:rPr>
          <w:rFonts w:ascii="Times New Roman" w:eastAsia="Calibri" w:hAnsi="Times New Roman" w:cs="Times New Roman"/>
          <w:b/>
          <w:sz w:val="24"/>
          <w:szCs w:val="24"/>
          <w:lang w:val="hr-HR"/>
        </w:rPr>
      </w:pPr>
      <w:r w:rsidRPr="003D2346">
        <w:rPr>
          <w:rFonts w:ascii="Times New Roman" w:eastAsia="Calibri" w:hAnsi="Times New Roman" w:cs="Times New Roman"/>
          <w:b/>
          <w:sz w:val="24"/>
          <w:szCs w:val="24"/>
          <w:lang w:val="hr-HR"/>
        </w:rPr>
        <w:t>Članak 5.</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Primjenom načela jedinstva i sveobuhvatnosti proračuna ovaj Godišnji izvještaj o izvršenju Proračuna Općine Seget za razdoblje siječanj – prosinac 2022. godine uključio je i ostvarene prihode i primitke, te rashode i izdatke proračunskog korisnika Dječjeg vrtića „Seget“ Seget Donji.</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center"/>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Članak 6.</w:t>
      </w:r>
    </w:p>
    <w:p w:rsidR="003D2346" w:rsidRPr="003D2346" w:rsidRDefault="003D2346" w:rsidP="003D2346">
      <w:pPr>
        <w:spacing w:after="0" w:line="240" w:lineRule="auto"/>
        <w:ind w:firstLine="567"/>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Prihvaća se Godišnje izvješće o radu općinskog načelnika – ostvarenje Proračuna Općine Seget za razdoblje siječanj – prosinac 2022. godine.</w:t>
      </w:r>
    </w:p>
    <w:p w:rsidR="003D2346" w:rsidRPr="003D2346" w:rsidRDefault="003D2346" w:rsidP="003D2346">
      <w:pPr>
        <w:autoSpaceDE w:val="0"/>
        <w:autoSpaceDN w:val="0"/>
        <w:adjustRightInd w:val="0"/>
        <w:spacing w:after="0" w:line="240" w:lineRule="auto"/>
        <w:rPr>
          <w:rFonts w:ascii="Times New Roman" w:eastAsia="Calibri" w:hAnsi="Times New Roman" w:cs="Times New Roman"/>
          <w:sz w:val="24"/>
          <w:szCs w:val="24"/>
          <w:lang w:val="hr-HR"/>
        </w:rPr>
      </w:pPr>
    </w:p>
    <w:p w:rsidR="003D2346" w:rsidRPr="003D2346" w:rsidRDefault="003D2346" w:rsidP="003D2346">
      <w:pPr>
        <w:autoSpaceDE w:val="0"/>
        <w:autoSpaceDN w:val="0"/>
        <w:adjustRightInd w:val="0"/>
        <w:spacing w:after="0" w:line="240" w:lineRule="auto"/>
        <w:jc w:val="center"/>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Članak 7.</w:t>
      </w:r>
    </w:p>
    <w:p w:rsidR="003D2346" w:rsidRPr="003D2346" w:rsidRDefault="003D2346" w:rsidP="003D2346">
      <w:pPr>
        <w:autoSpaceDE w:val="0"/>
        <w:autoSpaceDN w:val="0"/>
        <w:adjustRightInd w:val="0"/>
        <w:spacing w:after="0" w:line="240" w:lineRule="auto"/>
        <w:rPr>
          <w:rFonts w:ascii="Times New Roman" w:eastAsia="Calibri" w:hAnsi="Times New Roman" w:cs="Times New Roman"/>
          <w:sz w:val="24"/>
          <w:szCs w:val="24"/>
          <w:lang w:val="hr-HR"/>
        </w:rPr>
      </w:pPr>
    </w:p>
    <w:p w:rsidR="003D2346" w:rsidRPr="003D2346" w:rsidRDefault="003D2346" w:rsidP="003D2346">
      <w:pPr>
        <w:autoSpaceDE w:val="0"/>
        <w:autoSpaceDN w:val="0"/>
        <w:adjustRightInd w:val="0"/>
        <w:spacing w:after="0" w:line="240" w:lineRule="auto"/>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Ovaj Godišnji izvještaj o izvršenju Proračuna Općine Seget za razdoblje 01. siječnja do 31. prosinca 2022. godine stupa na snagu prvi dan od objave u “Službenom glasniku Općine Seget”. </w:t>
      </w:r>
    </w:p>
    <w:p w:rsidR="003D2346" w:rsidRDefault="003D2346" w:rsidP="003D2346">
      <w:pPr>
        <w:spacing w:after="0" w:line="240" w:lineRule="auto"/>
        <w:rPr>
          <w:rFonts w:ascii="Times New Roman" w:eastAsia="Calibri" w:hAnsi="Times New Roman" w:cs="Times New Roman"/>
          <w:sz w:val="24"/>
          <w:szCs w:val="24"/>
          <w:lang w:val="hr-HR"/>
        </w:rPr>
      </w:pPr>
    </w:p>
    <w:p w:rsidR="003D2346" w:rsidRDefault="003D2346" w:rsidP="003D2346">
      <w:pPr>
        <w:spacing w:after="0" w:line="240" w:lineRule="auto"/>
        <w:rPr>
          <w:rFonts w:ascii="Times New Roman" w:eastAsia="Calibri" w:hAnsi="Times New Roman" w:cs="Times New Roman"/>
          <w:sz w:val="24"/>
          <w:szCs w:val="24"/>
          <w:lang w:val="hr-HR"/>
        </w:rPr>
      </w:pPr>
    </w:p>
    <w:p w:rsidR="003D2346" w:rsidRPr="003D2346" w:rsidRDefault="003D2346" w:rsidP="003D2346">
      <w:pPr>
        <w:spacing w:after="0" w:line="240" w:lineRule="auto"/>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KLASA: 024-01/23-01/3-1</w:t>
      </w:r>
    </w:p>
    <w:p w:rsidR="003D2346" w:rsidRPr="003D2346" w:rsidRDefault="003D2346" w:rsidP="003D2346">
      <w:pPr>
        <w:spacing w:after="0" w:line="240" w:lineRule="auto"/>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URBROJ: 2181-46-1-23-1</w:t>
      </w:r>
    </w:p>
    <w:p w:rsidR="003D2346" w:rsidRPr="003D2346" w:rsidRDefault="003D2346" w:rsidP="003D2346">
      <w:pPr>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Seget Donji, 29. svibnja 2023. godine</w:t>
      </w:r>
    </w:p>
    <w:p w:rsidR="003D2346" w:rsidRPr="003D2346" w:rsidRDefault="003D2346" w:rsidP="003D2346">
      <w:pPr>
        <w:autoSpaceDE w:val="0"/>
        <w:autoSpaceDN w:val="0"/>
        <w:adjustRightInd w:val="0"/>
        <w:spacing w:after="0" w:line="240" w:lineRule="auto"/>
        <w:rPr>
          <w:rFonts w:ascii="Arial" w:eastAsia="Calibri" w:hAnsi="Arial" w:cs="Arial"/>
          <w:color w:val="000000"/>
          <w:sz w:val="20"/>
          <w:szCs w:val="20"/>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w:t>
      </w:r>
    </w:p>
    <w:p w:rsidR="003D2346" w:rsidRPr="003D2346" w:rsidRDefault="003D2346" w:rsidP="003D2346">
      <w:pPr>
        <w:spacing w:after="0" w:line="240" w:lineRule="auto"/>
        <w:ind w:firstLine="5670"/>
        <w:jc w:val="right"/>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PREDSJEDNIK</w:t>
      </w:r>
    </w:p>
    <w:p w:rsidR="003D2346" w:rsidRPr="003D2346" w:rsidRDefault="003D2346" w:rsidP="003D2346">
      <w:pPr>
        <w:spacing w:after="0" w:line="240" w:lineRule="auto"/>
        <w:ind w:firstLine="5670"/>
        <w:jc w:val="right"/>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OPĆINSKOG VIJEĆA</w:t>
      </w:r>
    </w:p>
    <w:p w:rsidR="003D2346" w:rsidRPr="003D2346" w:rsidRDefault="003D2346" w:rsidP="003D2346">
      <w:pPr>
        <w:spacing w:after="0" w:line="240" w:lineRule="auto"/>
        <w:ind w:firstLine="5670"/>
        <w:jc w:val="right"/>
        <w:rPr>
          <w:rFonts w:ascii="Times New Roman" w:eastAsia="Calibri" w:hAnsi="Times New Roman" w:cs="Times New Roman"/>
          <w:sz w:val="24"/>
          <w:szCs w:val="24"/>
          <w:lang w:val="hr-HR"/>
        </w:rPr>
      </w:pPr>
    </w:p>
    <w:p w:rsidR="003D2346" w:rsidRPr="003D2346" w:rsidRDefault="003D2346" w:rsidP="003D2346">
      <w:pPr>
        <w:spacing w:after="0" w:line="240" w:lineRule="auto"/>
        <w:ind w:firstLine="5670"/>
        <w:jc w:val="right"/>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Ivan </w:t>
      </w:r>
      <w:proofErr w:type="spellStart"/>
      <w:r w:rsidRPr="003D2346">
        <w:rPr>
          <w:rFonts w:ascii="Times New Roman" w:eastAsia="Calibri" w:hAnsi="Times New Roman" w:cs="Times New Roman"/>
          <w:sz w:val="24"/>
          <w:szCs w:val="24"/>
          <w:lang w:val="hr-HR"/>
        </w:rPr>
        <w:t>Strize</w:t>
      </w:r>
      <w:r>
        <w:rPr>
          <w:rFonts w:ascii="Times New Roman" w:eastAsia="Calibri" w:hAnsi="Times New Roman" w:cs="Times New Roman"/>
          <w:sz w:val="24"/>
          <w:szCs w:val="24"/>
          <w:lang w:val="hr-HR"/>
        </w:rPr>
        <w:t>,v.r</w:t>
      </w:r>
      <w:proofErr w:type="spellEnd"/>
      <w:r>
        <w:rPr>
          <w:rFonts w:ascii="Times New Roman" w:eastAsia="Calibri" w:hAnsi="Times New Roman" w:cs="Times New Roman"/>
          <w:sz w:val="24"/>
          <w:szCs w:val="24"/>
          <w:lang w:val="hr-HR"/>
        </w:rPr>
        <w:t>.</w:t>
      </w:r>
    </w:p>
    <w:p w:rsidR="003D2346" w:rsidRPr="003D2346" w:rsidRDefault="003D2346" w:rsidP="003D2346">
      <w:pPr>
        <w:keepNext/>
        <w:keepLines/>
        <w:spacing w:before="240" w:after="0" w:line="259" w:lineRule="auto"/>
        <w:jc w:val="center"/>
        <w:outlineLvl w:val="0"/>
        <w:rPr>
          <w:rFonts w:ascii="Cambria" w:eastAsia="Times New Roman" w:hAnsi="Cambria" w:cs="Times New Roman"/>
          <w:color w:val="365F91"/>
          <w:sz w:val="32"/>
          <w:szCs w:val="32"/>
          <w:lang w:val="hr-HR"/>
        </w:rPr>
      </w:pPr>
      <w:r w:rsidRPr="003D2346">
        <w:rPr>
          <w:rFonts w:ascii="Cambria" w:eastAsia="Times New Roman" w:hAnsi="Cambria" w:cs="Times New Roman"/>
          <w:color w:val="365F91"/>
          <w:sz w:val="32"/>
          <w:szCs w:val="32"/>
          <w:lang w:val="hr-HR"/>
        </w:rPr>
        <w:lastRenderedPageBreak/>
        <w:t>I. OPĆI DIO PRORAČUNA</w:t>
      </w:r>
    </w:p>
    <w:p w:rsidR="003D2346" w:rsidRPr="003D2346" w:rsidRDefault="003D2346" w:rsidP="003D2346">
      <w:pPr>
        <w:spacing w:after="160" w:line="259" w:lineRule="auto"/>
        <w:jc w:val="center"/>
        <w:rPr>
          <w:rFonts w:ascii="Times New Roman" w:eastAsia="Calibri" w:hAnsi="Times New Roman" w:cs="Times New Roman"/>
          <w:b/>
          <w:sz w:val="24"/>
          <w:szCs w:val="24"/>
          <w:lang w:val="hr-HR"/>
        </w:rPr>
      </w:pPr>
    </w:p>
    <w:p w:rsidR="003D2346" w:rsidRPr="003D2346" w:rsidRDefault="003D2346" w:rsidP="003D2346">
      <w:pPr>
        <w:keepNext/>
        <w:spacing w:after="0" w:line="240" w:lineRule="auto"/>
        <w:outlineLvl w:val="1"/>
        <w:rPr>
          <w:rFonts w:ascii="Times New Roman" w:eastAsia="Times New Roman" w:hAnsi="Times New Roman" w:cs="Times New Roman"/>
          <w:b/>
          <w:bCs/>
          <w:sz w:val="24"/>
          <w:szCs w:val="24"/>
          <w:lang w:val="hr-HR"/>
        </w:rPr>
      </w:pPr>
      <w:r w:rsidRPr="003D2346">
        <w:rPr>
          <w:rFonts w:ascii="Times New Roman" w:eastAsia="Times New Roman" w:hAnsi="Times New Roman" w:cs="Times New Roman"/>
          <w:b/>
          <w:bCs/>
          <w:sz w:val="24"/>
          <w:szCs w:val="24"/>
          <w:lang w:val="hr-HR"/>
        </w:rPr>
        <w:t>A . RAČUN PRIHODA I RASHODA</w:t>
      </w: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keepNext/>
        <w:keepLines/>
        <w:numPr>
          <w:ilvl w:val="0"/>
          <w:numId w:val="3"/>
        </w:numPr>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 xml:space="preserve">PRIHODI I RASHODI PREMA EKONOMSKOJ KLASIFIKACIJI </w:t>
      </w:r>
    </w:p>
    <w:p w:rsidR="003D2346" w:rsidRPr="003D2346" w:rsidRDefault="003D2346" w:rsidP="003D2346">
      <w:pPr>
        <w:tabs>
          <w:tab w:val="left" w:pos="3075"/>
        </w:tabs>
        <w:spacing w:after="160" w:line="259" w:lineRule="auto"/>
        <w:ind w:left="720"/>
        <w:contextualSpacing/>
        <w:rPr>
          <w:rFonts w:ascii="Times New Roman" w:eastAsia="Calibri" w:hAnsi="Times New Roman" w:cs="Times New Roman"/>
          <w:b/>
          <w:sz w:val="24"/>
          <w:szCs w:val="24"/>
          <w:lang w:val="hr-HR"/>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240"/>
        <w:gridCol w:w="1240"/>
        <w:gridCol w:w="1240"/>
        <w:gridCol w:w="1240"/>
        <w:gridCol w:w="937"/>
        <w:gridCol w:w="848"/>
      </w:tblGrid>
      <w:tr w:rsidR="003D2346" w:rsidRPr="003D2346" w:rsidTr="008D5134">
        <w:trPr>
          <w:trHeight w:val="264"/>
        </w:trPr>
        <w:tc>
          <w:tcPr>
            <w:tcW w:w="397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Račun / opis</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2021.</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plan 2022.</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937"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4/1</w:t>
            </w:r>
          </w:p>
        </w:tc>
        <w:tc>
          <w:tcPr>
            <w:tcW w:w="623"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4/3</w:t>
            </w:r>
          </w:p>
        </w:tc>
      </w:tr>
      <w:tr w:rsidR="003D2346" w:rsidRPr="003D2346" w:rsidTr="008D5134">
        <w:trPr>
          <w:trHeight w:val="264"/>
        </w:trPr>
        <w:tc>
          <w:tcPr>
            <w:tcW w:w="3970" w:type="dxa"/>
            <w:shd w:val="clear" w:color="000000" w:fill="808080"/>
            <w:noWrap/>
            <w:vAlign w:val="bottom"/>
            <w:hideMark/>
          </w:tcPr>
          <w:p w:rsidR="003D2346" w:rsidRPr="003D2346" w:rsidRDefault="003D2346" w:rsidP="003D2346">
            <w:pPr>
              <w:tabs>
                <w:tab w:val="left" w:pos="1021"/>
              </w:tabs>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A. RAČUN PRIHODA I RASHODA</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1</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3</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4</w:t>
            </w:r>
          </w:p>
        </w:tc>
        <w:tc>
          <w:tcPr>
            <w:tcW w:w="937"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5</w:t>
            </w:r>
          </w:p>
        </w:tc>
        <w:tc>
          <w:tcPr>
            <w:tcW w:w="623"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 Prihodi poslovanja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29.797.725,27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40.162.731,00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27.670.130,00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28.746.479,60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96,47%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103,89%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61 Prihodi od poreza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10.602.257,24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9.130.721,00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12.200.721,00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12.449.392,65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117,42%</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102,04%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611 Porez i prirez na dohodak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6.557.460,28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7.900.000,00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7.899.739,95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120,47%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6111 Porez i prirez na dohodak od nesamostalnog rada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6.557.460,28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7.899.739,95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120,47%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613 Porezi na imovinu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3.747.016,63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2.430.721,00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3.910.721,00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4.157.091,80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110,94%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106,30%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6131 Stalni porezi na nepokretnu imovinu (zemlju, zgrade, kuće i ostalo)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187.455,13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208.467,91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111,21%</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6134 Povremeni porezi na imovinu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3.559.561,50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3.948.623,89</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110,93%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614 Porezi na robu i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297.780,33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390.000,00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392.560,90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131,83%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100,66%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6143 Posebni porezi i trošarine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297.780,33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392.560,90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131,83%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 Pomoći iz inozemstva i od subjekata unutar općeg proračuna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4.416.746,85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7.263.275,00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2.406.409,00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2.605.383,26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58,99%</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108,27%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633 Pomoći proračunu iz drugih proračuna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846.559,85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2.567.025,00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905.500,00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1.104.547,38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130,47%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121,98%</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6331 Tekuće pomoći proračunu iz drugih proračuna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653.872,35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904.547,38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138,34%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6332 Kapitalne pomoći proračunu iz drugih proračuna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192.687,50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200.000,00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103,80%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634 Pomoći od izvanproračunskih korisnika</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1.086.250,00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54.909,00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54.908,46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6341 Tekuće pomoći od izvanproračunskih korisnika</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54.908,46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638 Pomoći iz državnog proračuna temeljem prijenosa EU sredstava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3.570.187,00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3.610.000,00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1.446.000,00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1.445.927,42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40,50%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99,99%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6382 Kapitalne pomoći iz državnog proračuna temeljem prijenosa EU sredstava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3.570.187,00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1.445.927,42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40,50%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64 Prihodi od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2.735.609,06</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4.262.825,00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3.063.500,00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2.848.997,72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104,14%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641 Prihodi od 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7.245,34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16.297,36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224,94%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6414 Prihodi od zateznih kamata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7.245,34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16.296,99</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224,93%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6419 Ostali prihodi od 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0,37</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642 Prihodi od nefinancijske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2.728.363,72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4.062.325,00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3.013.000,00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2.832.700,36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103,82%</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94,02%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6421 Naknade za koncesije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1.379.826,39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1.596.927,53</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115,73%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6422 Prihodi od zakupa i iznajmljivanja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204.265,60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178.562,20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87,42%</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6423 Naknada za korištenje nefinancijske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1.144.271,73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1.057.210,63</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92,39%</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65 Prihodi od upravnih i administrativnih pristojbi, pristojbi po posebnim propisima i naknada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12.043.112,12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19.490.910,00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9.984.500,00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10.832.385,99</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89,95%</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651 Upravne i administrativne pristojbe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731.578,65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1.528.375,00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1.031.000,00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1.048.458,61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143,31%</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101,69%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6512 Županijske, gradske i općinske pristojbe i naknade</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1.775,74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604,24</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34,03%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6514 Ostale pristojbe i naknade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729.802,91</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1.047.854,37</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143,58%</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652 Prihodi po posebnim propisima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558.549,00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1.478.625,00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853.500,00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747.567,01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133,84%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87,59%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6522 Prihodi vodnog gospodarstva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42.068,92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87.062,16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206,95%</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6526 Ostali nespomenuti prihodi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516.480,08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660.504,85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127,89%</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653 Komunalni doprinosi i naknade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10.752.984,47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16.483.910,00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8.100.000,00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9.036.360,37</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84,04%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111,56%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6531 Komunalni doprinosi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6.226.307,75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3.924.467,66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63,03%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6532 Komunalne naknade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4.526.676,72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5.111.892,71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112,93%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68 Kazne, upravne mjere i ostali prihodi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10.319,98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68,80%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683 Ostali prihodi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10.319,98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68,80%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6831 Ostali prihodi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10.319,98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7 Prihodi od prodaje nefinancijske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8.547.500,00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347.000,00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44,20%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71 Prihodi od prodaje </w:t>
            </w:r>
            <w:proofErr w:type="spellStart"/>
            <w:r w:rsidRPr="003D2346">
              <w:rPr>
                <w:rFonts w:ascii="Arial" w:eastAsia="Times New Roman" w:hAnsi="Arial" w:cs="Arial"/>
                <w:b/>
                <w:bCs/>
                <w:sz w:val="16"/>
                <w:szCs w:val="16"/>
                <w:lang w:val="hr-HR" w:eastAsia="hr-HR"/>
              </w:rPr>
              <w:t>neproizvedene</w:t>
            </w:r>
            <w:proofErr w:type="spellEnd"/>
            <w:r w:rsidRPr="003D2346">
              <w:rPr>
                <w:rFonts w:ascii="Arial" w:eastAsia="Times New Roman" w:hAnsi="Arial" w:cs="Arial"/>
                <w:b/>
                <w:bCs/>
                <w:sz w:val="16"/>
                <w:szCs w:val="16"/>
                <w:lang w:val="hr-HR" w:eastAsia="hr-HR"/>
              </w:rPr>
              <w:t xml:space="preserve"> dugotrajne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6.553.750,00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711 Prihodi od prodaje materijalne imovine - prirodnih bogatstava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6.553.750,00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72 Prihodi od prodaje proizvedene dugotrajne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1.993.750,00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347.000,00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44,20%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lastRenderedPageBreak/>
              <w:t xml:space="preserve">721 Prihodi od prodaje građevinskih objekata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1.993.750,00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347.000,00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44,20%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7214 Ostali građevinski objekti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785.000,00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347.000,00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44,20%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 Rashodi poslovanja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23.063.102,58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26.774.170,00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19.843.195,07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16.897.704,96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73,27%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85,16%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31 Rashodi za zaposlene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3.788.934,53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4.650.960,00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4.253.509,00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4.026.887,30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106,28%</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94,67%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311 Plaće (Bruto)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2.866.844,39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3.477.600,00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3.115.122,00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2.987.905,66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104,22%</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95,92%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3111 Plaće za redovan rad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2.866.844,39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2.987.905,66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104,22%</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312 Ostali rashodi za zaposlene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451.014,84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610.000,00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544.236,73</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120,67%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89,22%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3121 Ostali rashodi za zaposlene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451.014,84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544.236,73</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120,67%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313 Doprinosi na plaće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471.075,30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593.360,00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528.387,00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494.744,91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105,02%</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93,63%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3132 Doprinosi za obvezno zdravstveno osiguranje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471.075,30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494.744,91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105,02%</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32 Materijalni rashodi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13.319.592,10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12.532.735,00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8.839.286,07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6.788.107,41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50,96%</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76,79%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321 Naknade troškova zaposlenima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181.866,35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396.300,00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277.060,00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211.477,21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116,28%</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76,33%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3211 Službena putovanja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5.369,25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43.704,71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813,98%</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3212 Naknade za prijevoz, za rad na terenu i odvojeni život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141.603,00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157.260,00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111,06%</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3213 Stručno usavršavanje zaposlenika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34.894,10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10.512,50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30,13%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322 Rashodi za materijal i energiju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1.381.679,97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1.924.850,00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2.709.101,07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2.529.947,15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183,11%</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93,39%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3221 Uredski materijal i ostali materijalni rashodi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105.960,47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158.104,34</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149,21%</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3222 Materijal i sirovine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169.781,39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273.984,52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161,37%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3223 Energija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1.003.900,20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2.004.037,98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199,63%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3224 Materijal i dijelovi za tekuće i investicijsko održavanje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63.205,92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21.399,09</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33,86%</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3225 Sitni inventar i auto gume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38.831,99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72.421,22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186,50%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323 Rashodi za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10.188.687,03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9.259.560,00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5.174.100,00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3.324.907,47</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32,63%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64,26%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3231 Usluge telefona, pošte i prijevoza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91.344,54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169.478,67</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185,54%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3232 Usluge tekućeg i investicijskog održavanja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8.308.087,69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1.308.579,80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15,75%</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3233 Usluge promidžbe i informiranja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126.021,50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48.172,00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38,23%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3234 Komunalne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1.235.158,60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1.204.743,62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97,54%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3236 Zdravstvene i veterinarske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17.793,45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25.500,00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143,31%</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3237 Intelektualne i osobne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348.608,86</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469.699,57</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134,74%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3238 Računalne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27.960,00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39.103,75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139,86%</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3239 Ostale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33.712,39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59.630,06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176,88%</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329 Ostali nespomenuti rashodi poslovanja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1.567.358,75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952.025,00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679.025,00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721.775,58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46,05%</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106,30%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3291 Naknade za rad predstavničkih i izvršnih tijela, povjerenstava i slično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716.072,75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376.523,16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52,58%</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3292 Premije osiguranja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10.216,71</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14.279,45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139,77%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3293 Reprezentacija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66.086,61</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62.722,91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94,91%</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3295 Pristojbe i naknade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613.033,80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265.448,01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43,30%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3299 Ostali nespomenuti rashodi poslovanja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161.948,88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2.802,05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1,73%</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34 Financijski rashodi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126.129,03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143.600,00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60.600,00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33.363,50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26,45%</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55,06%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343 Ostali financijski rashodi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126.129,03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143.600,00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60.600,00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33.363,50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26,45%</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55,06%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3431 Bankarske usluge i usluge platnog prometa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32.827,38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28.750,81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87,58%</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3433 Zatezne kamate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93.301,65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4.612,69</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4,94%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35 Subvencije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1.478.734,08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139,50%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89,62%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351 Subvencije trgovačkim društvima u javnom sektoru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1.478.734,08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139,50%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89,62%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3512 Subvencije trgovačkim društvima u javnom sektoru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1.060.000,00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1.478.734,08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139,50%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 Pomoći dane u inozemstvo i unutar općeg proračuna</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497.500,00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363 Pomoći unutar općeg proračuna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497.500,00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37 Naknade građanima i kućanstvima na temelju osiguranja i druge naknade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2.441.900,00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2.494.875,00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2.487.300,00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2.287.036,74</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93,66%</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91,95%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372 Ostale naknade građanima i kućanstvima iz proračuna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2.441.900,00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2.494.875,00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2.487.300,00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2.287.036,74</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93,66%</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91,95%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3721 Naknade građanima i kućanstvima u novcu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1.723.850,00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1.009.090,00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58,54%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3722 Naknade građanima i kućanstvima u naravi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718.050,00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1.277.946,74</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177,97%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38 Ostali rashodi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2.326.546,92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4.654.500,00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2.552.500,00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2.283.575,93</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98,15%</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89,46%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381 Tekuće donacije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2.068.812,64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2.975.625,00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2.279.500,00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2.118.229,41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102,39%</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92,93%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3811 Tekuće donacije u novcu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2.068.812,64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2.118.229,41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102,39%</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382 Kapitalne donacije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94.200,00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1.137.375,00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1.580,00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1,68%</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79,00%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3821 Kapitalne donacije neprofitnim organizacijama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94.200,00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1.580,00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1,68%</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lastRenderedPageBreak/>
              <w:t xml:space="preserve">383 Kazne, penali i naknade štete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163.534,28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3831 Naknade šteta pravnim i fizičkim osobama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3835 Ostale kazne</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161.534,28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385 Izvanredni rashodi</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386 Kapitalne pomoći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161.500,00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163.766,52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99,25%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3861 Kapitalne pomoći kreditnim i ostalim financijskim institucijama te trgovačkim društvima u javnom </w:t>
            </w:r>
            <w:proofErr w:type="spellStart"/>
            <w:r w:rsidRPr="003D2346">
              <w:rPr>
                <w:rFonts w:ascii="Arial" w:eastAsia="Times New Roman" w:hAnsi="Arial" w:cs="Arial"/>
                <w:sz w:val="16"/>
                <w:szCs w:val="16"/>
                <w:lang w:val="hr-HR" w:eastAsia="hr-HR"/>
              </w:rPr>
              <w:t>sek</w:t>
            </w:r>
            <w:proofErr w:type="spellEnd"/>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163.766,52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 Rashodi za nabavu nefinancijske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10.520.362,63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22.063.433,00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6.362.465,93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3.435.089,36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32,65%</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53,99%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41 Rashodi za nabavu </w:t>
            </w:r>
            <w:proofErr w:type="spellStart"/>
            <w:r w:rsidRPr="003D2346">
              <w:rPr>
                <w:rFonts w:ascii="Arial" w:eastAsia="Times New Roman" w:hAnsi="Arial" w:cs="Arial"/>
                <w:b/>
                <w:bCs/>
                <w:sz w:val="16"/>
                <w:szCs w:val="16"/>
                <w:lang w:val="hr-HR" w:eastAsia="hr-HR"/>
              </w:rPr>
              <w:t>neproizvedene</w:t>
            </w:r>
            <w:proofErr w:type="spellEnd"/>
            <w:r w:rsidRPr="003D2346">
              <w:rPr>
                <w:rFonts w:ascii="Arial" w:eastAsia="Times New Roman" w:hAnsi="Arial" w:cs="Arial"/>
                <w:b/>
                <w:bCs/>
                <w:sz w:val="16"/>
                <w:szCs w:val="16"/>
                <w:lang w:val="hr-HR" w:eastAsia="hr-HR"/>
              </w:rPr>
              <w:t xml:space="preserve"> dugotrajne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687.875,00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947.360,00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175.250,00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14,17%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55,63%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412 Nematerijalna imovina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687.875,00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947.360,00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175.250,00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14,17%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55,63%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4126 Ostala nematerijalna imovina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687.875,00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97.500,00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14,17%</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42 Rashodi za nabavu proizvedene dugotrajne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9.832.487,63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21.104.073,00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6.187.215,93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3.337.589,36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33,94%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53,94%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421 Građevinski objekti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9.674.473,36</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18.506.475,00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5.508.065,93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2.751.039,36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28,44%</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49,95%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4212 Poslovni objekti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9.523.610,84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1.726.039,36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18,12%</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4213 Ceste, željeznice i ostali prometni objekti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122.687,50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332.500,00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271,01%</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4214 Ostali građevinski objekti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28.175,02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692.500,00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2457,85%</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422 Postrojenja i oprema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158.014,27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2.476.225,00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589.750,00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528.425,00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334,42%</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89,60%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4221 Uredska oprema i namještaj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21.482,00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15.760,00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73,36%</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4223 Oprema za održavanje i zaštitu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18.368,75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4227 Uređaji, strojevi i oprema za ostale namjene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118.163,52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512.665,00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433,86%</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423 Prijevozna sredstva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424 Knjige, umjetnička djela i ostale izložbene vrijednosti</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1.373,00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426 Nematerijalna proizvedena imovina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89.400,00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58.125,00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65,02%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4262 Ulaganja u računalne programe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58.125,00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45 Rashodi za dodatna ulaganja na nefinancijskoj imovini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451 Dodatna ulaganja na građevinskim objektima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6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bl>
    <w:p w:rsidR="003D2346" w:rsidRPr="003D2346" w:rsidRDefault="003D2346" w:rsidP="003D2346">
      <w:pPr>
        <w:tabs>
          <w:tab w:val="left" w:pos="3075"/>
        </w:tabs>
        <w:spacing w:after="160" w:line="259" w:lineRule="auto"/>
        <w:rPr>
          <w:rFonts w:ascii="Times New Roman" w:eastAsia="Calibri" w:hAnsi="Times New Roman" w:cs="Times New Roman"/>
          <w:b/>
          <w:sz w:val="24"/>
          <w:szCs w:val="24"/>
          <w:lang w:val="hr-HR"/>
        </w:rPr>
      </w:pPr>
    </w:p>
    <w:p w:rsidR="003D2346" w:rsidRPr="003D2346" w:rsidRDefault="003D2346" w:rsidP="003D2346">
      <w:pPr>
        <w:keepNext/>
        <w:keepLines/>
        <w:numPr>
          <w:ilvl w:val="0"/>
          <w:numId w:val="3"/>
        </w:numPr>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 xml:space="preserve">PRIHODI I RASHODI PREMA IZVORIMA FINANCIRANJA </w:t>
      </w:r>
    </w:p>
    <w:p w:rsidR="003D2346" w:rsidRPr="003D2346" w:rsidRDefault="003D2346" w:rsidP="003D2346">
      <w:pPr>
        <w:tabs>
          <w:tab w:val="left" w:pos="3075"/>
        </w:tabs>
        <w:spacing w:after="160" w:line="259" w:lineRule="auto"/>
        <w:ind w:left="720"/>
        <w:contextualSpacing/>
        <w:rPr>
          <w:rFonts w:ascii="Times New Roman" w:eastAsia="Calibri" w:hAnsi="Times New Roman" w:cs="Times New Roman"/>
          <w:b/>
          <w:sz w:val="24"/>
          <w:szCs w:val="24"/>
          <w:lang w:val="hr-HR"/>
        </w:rPr>
      </w:pPr>
    </w:p>
    <w:tbl>
      <w:tblPr>
        <w:tblW w:w="104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240"/>
        <w:gridCol w:w="1240"/>
        <w:gridCol w:w="1240"/>
        <w:gridCol w:w="1240"/>
        <w:gridCol w:w="848"/>
        <w:gridCol w:w="848"/>
      </w:tblGrid>
      <w:tr w:rsidR="003D2346" w:rsidRPr="003D2346" w:rsidTr="008D5134">
        <w:trPr>
          <w:trHeight w:val="264"/>
        </w:trPr>
        <w:tc>
          <w:tcPr>
            <w:tcW w:w="397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Račun / opis</w:t>
            </w:r>
          </w:p>
        </w:tc>
        <w:tc>
          <w:tcPr>
            <w:tcW w:w="109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2021.</w:t>
            </w:r>
          </w:p>
        </w:tc>
        <w:tc>
          <w:tcPr>
            <w:tcW w:w="124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124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plan 2022.</w:t>
            </w:r>
          </w:p>
        </w:tc>
        <w:tc>
          <w:tcPr>
            <w:tcW w:w="124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84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4/1</w:t>
            </w:r>
          </w:p>
        </w:tc>
        <w:tc>
          <w:tcPr>
            <w:tcW w:w="84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4/3</w:t>
            </w:r>
          </w:p>
        </w:tc>
      </w:tr>
      <w:tr w:rsidR="003D2346" w:rsidRPr="003D2346" w:rsidTr="008D5134">
        <w:trPr>
          <w:trHeight w:val="264"/>
        </w:trPr>
        <w:tc>
          <w:tcPr>
            <w:tcW w:w="397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PRIHODI I RASHODI PREMA IZVORIMA FINANCIRANJA</w:t>
            </w:r>
          </w:p>
        </w:tc>
        <w:tc>
          <w:tcPr>
            <w:tcW w:w="109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w:t>
            </w:r>
          </w:p>
        </w:tc>
        <w:tc>
          <w:tcPr>
            <w:tcW w:w="124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w:t>
            </w:r>
          </w:p>
        </w:tc>
        <w:tc>
          <w:tcPr>
            <w:tcW w:w="124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w:t>
            </w:r>
          </w:p>
        </w:tc>
        <w:tc>
          <w:tcPr>
            <w:tcW w:w="124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w:t>
            </w:r>
          </w:p>
        </w:tc>
        <w:tc>
          <w:tcPr>
            <w:tcW w:w="84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w:t>
            </w:r>
          </w:p>
        </w:tc>
        <w:tc>
          <w:tcPr>
            <w:tcW w:w="84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w:t>
            </w:r>
          </w:p>
        </w:tc>
      </w:tr>
      <w:tr w:rsidR="003D2346" w:rsidRPr="003D2346" w:rsidTr="008D5134">
        <w:trPr>
          <w:trHeight w:val="264"/>
        </w:trPr>
        <w:tc>
          <w:tcPr>
            <w:tcW w:w="397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xml:space="preserve"> SVEUKUPNI PRIHODI</w:t>
            </w:r>
          </w:p>
        </w:tc>
        <w:tc>
          <w:tcPr>
            <w:tcW w:w="1098"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30.582.725,27</w:t>
            </w:r>
          </w:p>
        </w:tc>
        <w:tc>
          <w:tcPr>
            <w:tcW w:w="1240"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48.710.231,00</w:t>
            </w:r>
          </w:p>
        </w:tc>
        <w:tc>
          <w:tcPr>
            <w:tcW w:w="1240"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27.990.130,00</w:t>
            </w:r>
          </w:p>
        </w:tc>
        <w:tc>
          <w:tcPr>
            <w:tcW w:w="1240"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29.093.479,60</w:t>
            </w:r>
          </w:p>
        </w:tc>
        <w:tc>
          <w:tcPr>
            <w:tcW w:w="848"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95,13%</w:t>
            </w:r>
          </w:p>
        </w:tc>
        <w:tc>
          <w:tcPr>
            <w:tcW w:w="848"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103,94%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1. OPĆI PRIHODI I PRIMICI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13.501.291,40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14.043.546,00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15.472.221,00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15.497.761,61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114,79%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1.1. Opći prihodi i primici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13.501.291,40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14.043.046,00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15.471.721,00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15.497.761,24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114,79%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1.2. Prihod od financijske imovine</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0,37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1.2.02 Prihod od banke (pasivna kamata) - proračunski korisnik</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0,37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3. Vlastiti prihodi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303.661,70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447.036,40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147,22%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82,78%</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3.3. Prihodi od roditelja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303.661,70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447.036,40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147,22%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82,78%</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4. PRIHODI ZA POSEBNE NAMJENE</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11.576.025,32</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18.052.160,00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9.236.500,00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10.185.978,35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87,99%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110,28%</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Izvor 4.1. Prihodi po posebnim </w:t>
            </w:r>
            <w:proofErr w:type="spellStart"/>
            <w:r w:rsidRPr="003D2346">
              <w:rPr>
                <w:rFonts w:ascii="Arial" w:eastAsia="Times New Roman" w:hAnsi="Arial" w:cs="Arial"/>
                <w:b/>
                <w:bCs/>
                <w:sz w:val="16"/>
                <w:szCs w:val="16"/>
                <w:lang w:val="hr-HR" w:eastAsia="hr-HR"/>
              </w:rPr>
              <w:t>proisima</w:t>
            </w:r>
            <w:proofErr w:type="spellEnd"/>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6.226.307,75</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8.593.850,00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3.924.467,66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63,03%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112,13%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4.2. Prihodi po posebnim propisima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4.526.676,72</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7.890.060,00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5.111.892,71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112,93%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111,13%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4.3. Prihodi po posebnim propisima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729.802,91</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1.269.625,00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1.047.854,37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143,58%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101,73%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4.4. Prihodi od upravljanja grobljem</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51.169,02</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137.125,00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76.830,20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150,15%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101,09%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Izvor 4.8. Vodni doprinos </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42.068,92</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161.500,00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24.933,41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59,27%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81,75%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 POMOĆI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4.416.746,85</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7.278.275,00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2.421.409,00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2.615.703,24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59,22%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108,02%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5.1. Tekuće potpore iz županijskog proračuna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104.775,00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883.400,00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5.2. Kapitalne potpore iz županijskog proračuna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192.687,50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1.533.625,00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103,80%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5.3. Tekuće potpore iz državnog proračuna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549.097,35</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920.500,00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914.867,36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166,61%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99,39%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Izvor 5.3.2 Prihod od Ministarstva za program za djecu s teško u </w:t>
            </w:r>
            <w:proofErr w:type="spellStart"/>
            <w:r w:rsidRPr="003D2346">
              <w:rPr>
                <w:rFonts w:ascii="Arial" w:eastAsia="Times New Roman" w:hAnsi="Arial" w:cs="Arial"/>
                <w:b/>
                <w:bCs/>
                <w:sz w:val="16"/>
                <w:szCs w:val="16"/>
                <w:lang w:val="hr-HR" w:eastAsia="hr-HR"/>
              </w:rPr>
              <w:t>raz</w:t>
            </w:r>
            <w:proofErr w:type="spellEnd"/>
            <w:r w:rsidRPr="003D2346">
              <w:rPr>
                <w:rFonts w:ascii="Arial" w:eastAsia="Times New Roman" w:hAnsi="Arial" w:cs="Arial"/>
                <w:b/>
                <w:bCs/>
                <w:sz w:val="16"/>
                <w:szCs w:val="16"/>
                <w:lang w:val="hr-HR" w:eastAsia="hr-HR"/>
              </w:rPr>
              <w:t xml:space="preserve"> PK</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4.199,99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Izvor 5.3.3 Prihod od Ministarstva za program </w:t>
            </w:r>
            <w:proofErr w:type="spellStart"/>
            <w:r w:rsidRPr="003D2346">
              <w:rPr>
                <w:rFonts w:ascii="Arial" w:eastAsia="Times New Roman" w:hAnsi="Arial" w:cs="Arial"/>
                <w:b/>
                <w:bCs/>
                <w:sz w:val="16"/>
                <w:szCs w:val="16"/>
                <w:lang w:val="hr-HR" w:eastAsia="hr-HR"/>
              </w:rPr>
              <w:t>predškole</w:t>
            </w:r>
            <w:proofErr w:type="spellEnd"/>
            <w:r w:rsidRPr="003D2346">
              <w:rPr>
                <w:rFonts w:ascii="Arial" w:eastAsia="Times New Roman" w:hAnsi="Arial" w:cs="Arial"/>
                <w:b/>
                <w:bCs/>
                <w:sz w:val="16"/>
                <w:szCs w:val="16"/>
                <w:lang w:val="hr-HR" w:eastAsia="hr-HR"/>
              </w:rPr>
              <w:t>-PK</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6.119,99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61,20%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5.4. Kapitalne potpore iz državnog proračuna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lastRenderedPageBreak/>
              <w:t>Izvor 5.6. Kapitalne potpore od Hrvatskih cesta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5.7. Kapitalne potpore od Lučke uprave SDŽ</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746.250,00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5.8. Pomoći iz EU državnih fondova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3.570.187,00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1.446.000,00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1.445.927,42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99,99%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5.9. Tekuće pomoći od HZZ-a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54.909,00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54.908,46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7. PRIHODI OD PRODAJE ILI ZAMJENE NEFINANCIJSKE IMOVINE TE OSIG</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8.547.500,00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44,20%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7.1. Prihodi od pro. zemljišta/drugi prihodi proračuna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6.553.750,00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Izvor 7.2. Povrat prihoda od prodaje grob </w:t>
            </w:r>
            <w:proofErr w:type="spellStart"/>
            <w:r w:rsidRPr="003D2346">
              <w:rPr>
                <w:rFonts w:ascii="Arial" w:eastAsia="Times New Roman" w:hAnsi="Arial" w:cs="Arial"/>
                <w:b/>
                <w:bCs/>
                <w:sz w:val="16"/>
                <w:szCs w:val="16"/>
                <w:lang w:val="hr-HR" w:eastAsia="hr-HR"/>
              </w:rPr>
              <w:t>mjes</w:t>
            </w:r>
            <w:proofErr w:type="spellEnd"/>
            <w:r w:rsidRPr="003D2346">
              <w:rPr>
                <w:rFonts w:ascii="Arial" w:eastAsia="Times New Roman" w:hAnsi="Arial" w:cs="Arial"/>
                <w:b/>
                <w:bCs/>
                <w:sz w:val="16"/>
                <w:szCs w:val="16"/>
                <w:lang w:val="hr-HR" w:eastAsia="hr-HR"/>
              </w:rPr>
              <w:t xml:space="preserve"> u opće prihode i </w:t>
            </w:r>
            <w:proofErr w:type="spellStart"/>
            <w:r w:rsidRPr="003D2346">
              <w:rPr>
                <w:rFonts w:ascii="Arial" w:eastAsia="Times New Roman" w:hAnsi="Arial" w:cs="Arial"/>
                <w:b/>
                <w:bCs/>
                <w:sz w:val="16"/>
                <w:szCs w:val="16"/>
                <w:lang w:val="hr-HR" w:eastAsia="hr-HR"/>
              </w:rPr>
              <w:t>primitk</w:t>
            </w:r>
            <w:proofErr w:type="spellEnd"/>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623.750,00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7.3. Prihod od prodaje grobnih mjesta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44,20%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8. NAMJENSKI PRIMICI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8.2. Ostale naknade</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98" w:type="dxa"/>
            <w:shd w:val="clear" w:color="auto" w:fill="auto"/>
            <w:noWrap/>
            <w:vAlign w:val="bottom"/>
            <w:hideMark/>
          </w:tcPr>
          <w:p w:rsidR="003D2346" w:rsidRPr="003D2346" w:rsidRDefault="003D2346" w:rsidP="003D2346">
            <w:pPr>
              <w:spacing w:after="0" w:line="240" w:lineRule="auto"/>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rPr>
                <w:rFonts w:ascii="Times New Roman" w:eastAsia="Times New Roman" w:hAnsi="Times New Roman" w:cs="Times New Roman"/>
                <w:sz w:val="16"/>
                <w:szCs w:val="16"/>
                <w:lang w:val="hr-HR" w:eastAsia="hr-HR"/>
              </w:rPr>
            </w:pPr>
          </w:p>
        </w:tc>
        <w:tc>
          <w:tcPr>
            <w:tcW w:w="848" w:type="dxa"/>
            <w:shd w:val="clear" w:color="auto" w:fill="auto"/>
            <w:noWrap/>
            <w:vAlign w:val="bottom"/>
            <w:hideMark/>
          </w:tcPr>
          <w:p w:rsidR="003D2346" w:rsidRPr="003D2346" w:rsidRDefault="003D2346" w:rsidP="003D2346">
            <w:pPr>
              <w:spacing w:after="0" w:line="240" w:lineRule="auto"/>
              <w:rPr>
                <w:rFonts w:ascii="Times New Roman" w:eastAsia="Times New Roman" w:hAnsi="Times New Roman" w:cs="Times New Roman"/>
                <w:sz w:val="16"/>
                <w:szCs w:val="16"/>
                <w:lang w:val="hr-HR" w:eastAsia="hr-HR"/>
              </w:rPr>
            </w:pPr>
          </w:p>
        </w:tc>
        <w:tc>
          <w:tcPr>
            <w:tcW w:w="848" w:type="dxa"/>
            <w:shd w:val="clear" w:color="auto" w:fill="auto"/>
            <w:noWrap/>
            <w:vAlign w:val="bottom"/>
            <w:hideMark/>
          </w:tcPr>
          <w:p w:rsidR="003D2346" w:rsidRPr="003D2346" w:rsidRDefault="003D2346" w:rsidP="003D2346">
            <w:pPr>
              <w:spacing w:after="0" w:line="240" w:lineRule="auto"/>
              <w:rPr>
                <w:rFonts w:ascii="Times New Roman" w:eastAsia="Times New Roman" w:hAnsi="Times New Roman" w:cs="Times New Roman"/>
                <w:sz w:val="16"/>
                <w:szCs w:val="16"/>
                <w:lang w:val="hr-HR" w:eastAsia="hr-HR"/>
              </w:rPr>
            </w:pPr>
          </w:p>
        </w:tc>
      </w:tr>
      <w:tr w:rsidR="003D2346" w:rsidRPr="003D2346" w:rsidTr="008D5134">
        <w:trPr>
          <w:trHeight w:val="264"/>
        </w:trPr>
        <w:tc>
          <w:tcPr>
            <w:tcW w:w="3970"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xml:space="preserve"> SVEUKUPNI RASHODI</w:t>
            </w:r>
          </w:p>
        </w:tc>
        <w:tc>
          <w:tcPr>
            <w:tcW w:w="1098"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33.583.465,21</w:t>
            </w:r>
          </w:p>
        </w:tc>
        <w:tc>
          <w:tcPr>
            <w:tcW w:w="1240"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48.837.603,00</w:t>
            </w:r>
          </w:p>
        </w:tc>
        <w:tc>
          <w:tcPr>
            <w:tcW w:w="1240"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26.205.661,00</w:t>
            </w:r>
          </w:p>
        </w:tc>
        <w:tc>
          <w:tcPr>
            <w:tcW w:w="1240"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20.332.794,32</w:t>
            </w:r>
          </w:p>
        </w:tc>
        <w:tc>
          <w:tcPr>
            <w:tcW w:w="848"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60,54%</w:t>
            </w:r>
          </w:p>
        </w:tc>
        <w:tc>
          <w:tcPr>
            <w:tcW w:w="848"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77,59%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1. OPĆI PRIHODI I PRIMICI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11.988.879,13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14.243.545,00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10.553.785,00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9.155.291,99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76,36%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86,75%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1.1. Opći prihodi i primici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11.988.879,13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14.243.045,00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10.553.285,00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9.155.291,99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76,36%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86,75%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1.2. Prihod od financijske imovine</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1.2.02 Prihod od banke (pasivna kamata) - proračunski korisnik</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3. Vlastiti prihodi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262.602,95</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468.340,94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178,35%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86,73%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3.3. Prihodi od roditelja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262.602,95</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468.340,94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178,35%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86,73%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4. PRIHODI ZA POSEBNE NAMJENE</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11.097.416,42</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18.152.160,00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10.388.565,93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7.235.365,73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65,20%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69,65%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Izvor 4.1. Prihodi po posebnim </w:t>
            </w:r>
            <w:proofErr w:type="spellStart"/>
            <w:r w:rsidRPr="003D2346">
              <w:rPr>
                <w:rFonts w:ascii="Arial" w:eastAsia="Times New Roman" w:hAnsi="Arial" w:cs="Arial"/>
                <w:b/>
                <w:bCs/>
                <w:sz w:val="16"/>
                <w:szCs w:val="16"/>
                <w:lang w:val="hr-HR" w:eastAsia="hr-HR"/>
              </w:rPr>
              <w:t>proisima</w:t>
            </w:r>
            <w:proofErr w:type="spellEnd"/>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4.964.316,59</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8.593.850,00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3.118.315,93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1.094.713,68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22,05%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35,11%</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4.2. Prihodi po posebnim propisima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5.621.303,43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7.990.060,00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6.700.500,00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5.599.283,66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99,61%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83,57%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4.3. Prihodi po posebnim propisima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486.958,90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1.269.625,00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536.750,00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525.160,05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107,84%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97,84%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4.4. Prihodi od upravljanja grobljem</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24.837,50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137.125,00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16.208,34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65,26%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49,12%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Izvor 4.8. Vodni doprinos </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161.500,00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 POMOĆI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7.159.691,83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6.568.275,00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1.193.659,00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1.250.664,26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17,47%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104,78%</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5.1. Tekuće potpore iz županijskog proračuna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375.860,00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883.400,00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46.250,00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26.681,25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7,10%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57,69%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5.2. Kapitalne potpore iz županijskog proračuna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192.687,50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1.533.625,00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187.000,00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304.375,00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157,96%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162,77%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5.3. Tekuće potpore iz državnog proračuna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62.601,07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18.671,50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29,83%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30,86%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Izvor 5.3.2 Prihod od Ministarstva za program za djecu s teško u </w:t>
            </w:r>
            <w:proofErr w:type="spellStart"/>
            <w:r w:rsidRPr="003D2346">
              <w:rPr>
                <w:rFonts w:ascii="Arial" w:eastAsia="Times New Roman" w:hAnsi="Arial" w:cs="Arial"/>
                <w:b/>
                <w:bCs/>
                <w:sz w:val="16"/>
                <w:szCs w:val="16"/>
                <w:lang w:val="hr-HR" w:eastAsia="hr-HR"/>
              </w:rPr>
              <w:t>raz</w:t>
            </w:r>
            <w:proofErr w:type="spellEnd"/>
            <w:r w:rsidRPr="003D2346">
              <w:rPr>
                <w:rFonts w:ascii="Arial" w:eastAsia="Times New Roman" w:hAnsi="Arial" w:cs="Arial"/>
                <w:b/>
                <w:bCs/>
                <w:sz w:val="16"/>
                <w:szCs w:val="16"/>
                <w:lang w:val="hr-HR" w:eastAsia="hr-HR"/>
              </w:rPr>
              <w:t xml:space="preserve"> PK</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1.775,75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35,52%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Izvor 5.3.3 Prihod od Ministarstva za program </w:t>
            </w:r>
            <w:proofErr w:type="spellStart"/>
            <w:r w:rsidRPr="003D2346">
              <w:rPr>
                <w:rFonts w:ascii="Arial" w:eastAsia="Times New Roman" w:hAnsi="Arial" w:cs="Arial"/>
                <w:b/>
                <w:bCs/>
                <w:sz w:val="16"/>
                <w:szCs w:val="16"/>
                <w:lang w:val="hr-HR" w:eastAsia="hr-HR"/>
              </w:rPr>
              <w:t>predškole</w:t>
            </w:r>
            <w:proofErr w:type="spellEnd"/>
            <w:r w:rsidRPr="003D2346">
              <w:rPr>
                <w:rFonts w:ascii="Arial" w:eastAsia="Times New Roman" w:hAnsi="Arial" w:cs="Arial"/>
                <w:b/>
                <w:bCs/>
                <w:sz w:val="16"/>
                <w:szCs w:val="16"/>
                <w:lang w:val="hr-HR" w:eastAsia="hr-HR"/>
              </w:rPr>
              <w:t>-PK</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1.775,75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17,76%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5.4. Kapitalne potpore iz državnog proračuna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5.6. Kapitalne potpore od Hrvatskih cesta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5.7. Kapitalne potpore od Lučke uprave SDŽ</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746.250,00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5.8. Pomoći iz EU državnih fondova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6.528.543,26</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852.414,05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13,06%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100,88%</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5.9. Tekuće pomoći od HZZ-a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54.909,00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48.522,46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88,37%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7. PRIHODI OD PRODAJE ILI ZAMJENE NEFINANCIJSKE IMOVINE TE OSIG</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3.024.014,49</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8.957.500,00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3.269.500,00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2.213.756,40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73,21%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67,71%</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7.1. Prihodi od pro. zemljišta/drugi prihodi proračuna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3.024.014,49</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6.963.750,00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2.645.750,00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2.213.756,40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73,21%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83,67%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Izvor 7.2. Povrat prihoda od prodaje grob </w:t>
            </w:r>
            <w:proofErr w:type="spellStart"/>
            <w:r w:rsidRPr="003D2346">
              <w:rPr>
                <w:rFonts w:ascii="Arial" w:eastAsia="Times New Roman" w:hAnsi="Arial" w:cs="Arial"/>
                <w:b/>
                <w:bCs/>
                <w:sz w:val="16"/>
                <w:szCs w:val="16"/>
                <w:lang w:val="hr-HR" w:eastAsia="hr-HR"/>
              </w:rPr>
              <w:t>mjes</w:t>
            </w:r>
            <w:proofErr w:type="spellEnd"/>
            <w:r w:rsidRPr="003D2346">
              <w:rPr>
                <w:rFonts w:ascii="Arial" w:eastAsia="Times New Roman" w:hAnsi="Arial" w:cs="Arial"/>
                <w:b/>
                <w:bCs/>
                <w:sz w:val="16"/>
                <w:szCs w:val="16"/>
                <w:lang w:val="hr-HR" w:eastAsia="hr-HR"/>
              </w:rPr>
              <w:t xml:space="preserve"> u opće prihode i </w:t>
            </w:r>
            <w:proofErr w:type="spellStart"/>
            <w:r w:rsidRPr="003D2346">
              <w:rPr>
                <w:rFonts w:ascii="Arial" w:eastAsia="Times New Roman" w:hAnsi="Arial" w:cs="Arial"/>
                <w:b/>
                <w:bCs/>
                <w:sz w:val="16"/>
                <w:szCs w:val="16"/>
                <w:lang w:val="hr-HR" w:eastAsia="hr-HR"/>
              </w:rPr>
              <w:t>primitk</w:t>
            </w:r>
            <w:proofErr w:type="spellEnd"/>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623.750,00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7.3. Prihod od prodaje grobnih mjesta</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623.750,00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8. NAMJENSKI PRIMICI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50.860,39</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376.123,00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260.151,07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9.375,00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18,43%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8.1. Višak prihoda iz preneseni</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50.860,39</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127.373,00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11.401,07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9.375,00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18,43%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82,23%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8.1.02 Višak prihoda preneseni - proračunski korisnik</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50.860,39</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127.373,00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11.401,07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9.375,00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18,43%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82,23%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 8.2. Ostale naknade</w:t>
            </w:r>
          </w:p>
        </w:tc>
        <w:tc>
          <w:tcPr>
            <w:tcW w:w="109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bl>
    <w:p w:rsidR="003D2346" w:rsidRPr="003D2346" w:rsidRDefault="003D2346" w:rsidP="003D2346">
      <w:pPr>
        <w:tabs>
          <w:tab w:val="left" w:pos="3075"/>
        </w:tabs>
        <w:spacing w:after="160" w:line="259" w:lineRule="auto"/>
        <w:rPr>
          <w:rFonts w:ascii="Times New Roman" w:eastAsia="Calibri" w:hAnsi="Times New Roman" w:cs="Times New Roman"/>
          <w:b/>
          <w:sz w:val="24"/>
          <w:szCs w:val="24"/>
          <w:lang w:val="hr-HR"/>
        </w:rPr>
      </w:pPr>
    </w:p>
    <w:p w:rsidR="003D2346" w:rsidRPr="003D2346" w:rsidRDefault="003D2346" w:rsidP="003D2346">
      <w:pPr>
        <w:keepNext/>
        <w:keepLines/>
        <w:numPr>
          <w:ilvl w:val="0"/>
          <w:numId w:val="3"/>
        </w:numPr>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 xml:space="preserve">RASHODI PREMA FUNKCIJSKOJ KLASIFIKACIJI </w:t>
      </w:r>
    </w:p>
    <w:p w:rsidR="003D2346" w:rsidRPr="003D2346" w:rsidRDefault="003D2346" w:rsidP="003D2346">
      <w:pPr>
        <w:spacing w:after="160" w:line="259" w:lineRule="auto"/>
        <w:rPr>
          <w:rFonts w:ascii="Times New Roman" w:eastAsia="Calibri" w:hAnsi="Times New Roman" w:cs="Times New Roman"/>
          <w:b/>
          <w:sz w:val="24"/>
          <w:szCs w:val="24"/>
          <w:lang w:val="hr-HR"/>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240"/>
        <w:gridCol w:w="1240"/>
        <w:gridCol w:w="1240"/>
        <w:gridCol w:w="1240"/>
        <w:gridCol w:w="848"/>
        <w:gridCol w:w="818"/>
      </w:tblGrid>
      <w:tr w:rsidR="003D2346" w:rsidRPr="003D2346" w:rsidTr="008D5134">
        <w:trPr>
          <w:trHeight w:val="264"/>
        </w:trPr>
        <w:tc>
          <w:tcPr>
            <w:tcW w:w="397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Račun/Opis</w:t>
            </w:r>
          </w:p>
        </w:tc>
        <w:tc>
          <w:tcPr>
            <w:tcW w:w="1134"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2021</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plan 2022</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848"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4/1</w:t>
            </w:r>
          </w:p>
        </w:tc>
        <w:tc>
          <w:tcPr>
            <w:tcW w:w="818"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4/3</w:t>
            </w:r>
          </w:p>
        </w:tc>
      </w:tr>
      <w:tr w:rsidR="003D2346" w:rsidRPr="003D2346" w:rsidTr="008D5134">
        <w:trPr>
          <w:trHeight w:val="264"/>
        </w:trPr>
        <w:tc>
          <w:tcPr>
            <w:tcW w:w="397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134"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w:t>
            </w:r>
          </w:p>
        </w:tc>
        <w:tc>
          <w:tcPr>
            <w:tcW w:w="848"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w:t>
            </w:r>
          </w:p>
        </w:tc>
        <w:tc>
          <w:tcPr>
            <w:tcW w:w="818"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w:t>
            </w:r>
          </w:p>
        </w:tc>
      </w:tr>
      <w:tr w:rsidR="003D2346" w:rsidRPr="003D2346" w:rsidTr="008D5134">
        <w:trPr>
          <w:trHeight w:val="264"/>
        </w:trPr>
        <w:tc>
          <w:tcPr>
            <w:tcW w:w="3970" w:type="dxa"/>
            <w:shd w:val="clear" w:color="000000" w:fill="C0C0C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Funkcijska klasifikacija  SVEUKUPNI RASHODI</w:t>
            </w:r>
          </w:p>
        </w:tc>
        <w:tc>
          <w:tcPr>
            <w:tcW w:w="1134" w:type="dxa"/>
            <w:shd w:val="clear" w:color="000000" w:fill="C0C0C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33.583.465,21</w:t>
            </w:r>
          </w:p>
        </w:tc>
        <w:tc>
          <w:tcPr>
            <w:tcW w:w="1240" w:type="dxa"/>
            <w:shd w:val="clear" w:color="000000" w:fill="C0C0C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48.837.603,00</w:t>
            </w:r>
          </w:p>
        </w:tc>
        <w:tc>
          <w:tcPr>
            <w:tcW w:w="1240" w:type="dxa"/>
            <w:shd w:val="clear" w:color="000000" w:fill="C0C0C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26.205.661,00</w:t>
            </w:r>
          </w:p>
        </w:tc>
        <w:tc>
          <w:tcPr>
            <w:tcW w:w="1240" w:type="dxa"/>
            <w:shd w:val="clear" w:color="000000" w:fill="C0C0C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20.332.794,32</w:t>
            </w:r>
          </w:p>
        </w:tc>
        <w:tc>
          <w:tcPr>
            <w:tcW w:w="848" w:type="dxa"/>
            <w:shd w:val="clear" w:color="000000" w:fill="C0C0C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60,54%</w:t>
            </w:r>
          </w:p>
        </w:tc>
        <w:tc>
          <w:tcPr>
            <w:tcW w:w="818" w:type="dxa"/>
            <w:shd w:val="clear" w:color="000000" w:fill="C0C0C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77,59%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01 Opće javne usluge</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4.589.321,94</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5.849.125,00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4.331.625,00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3.771.011,86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82,17%</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87,06%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011 "Izvršna  i zakonodavna tijela"</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4.589.321,94</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5.849.125,00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4.331.625,00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3.771.011,86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82,17%</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87,06%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02 Obrana</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1.317.036,23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1.705.875,00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1.500.000,00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1.442.682,77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109,54%</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96,18%</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022 Civilna obrana</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1.317.036,23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1.705.875,00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1.500.000,00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1.442.682,77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109,54%</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96,18%</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03 Javni red i sigurnost</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27.486,71</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14.000,00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10.530,50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38,31%</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75,22%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031 Usluge policije</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27.486,71</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14.000,00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10.530,50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38,31%</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75,22%</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04 Ekonomski poslovi</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13.145.965,69</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24.927.683,00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11.966.372,07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7.670.990,96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58,35%</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64,10%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041 "Opći ekonomski, trgovački i poslovi vezani uz rad"</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13.028.525,41</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24.827.683,00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11.966.372,07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7.670.990,96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58,88%</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64,10%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045 Promet</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117.440,28</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05 Zaštita okoliša</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60.601,07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510.875,00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189.375,00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163.781,25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270,26%</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86,49%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051 Gospodarenje otpadom</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60.601,07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510.875,00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189.375,00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163.781,25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270,26%</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86,49%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06 Usluge unapređenja stanovanja i zajednice</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98.295,81</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3.804.210,00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927.094,93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690.041,66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702,01%</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74,43%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062 Razvoj zajednice</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98.295,81</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1.681.985,00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260.250,00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165.666,66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168,54%</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63,66%</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064 Ulična rasvjeta</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2.047.350,00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666.844,93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524.375,00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78,64%</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066 Rashodi vezani za stanovanje i kom. pogodnosti koji nisu drugdje svrstani</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07 Zdravstvo</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61.000,00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73.000,00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72.901,98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119,51%</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99,87%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072 Službe za vanjske pacijente</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61.000,00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73.000,00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72.901,98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119,51%</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99,87%</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08 "Rekreacija, kultura i religija"</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126.500,00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1.534.750,00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43.745,00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34,58%</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43,75%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081 Službe rekreacije i sporta</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50,00%</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50,00%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082 Službe kulture</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116.500,00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1.484.750,00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38.745,00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33,26%</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43,05%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09 Obrazovanje</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11.397.182,54</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7.400.335,00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4.401.485,00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4.002.115,61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35,11%</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90,93%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091 Predškolsko i osnovno obrazovanje</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11.397.182,54</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7.400.335,00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4.401.485,00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4.002.115,61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35,11%</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90,93%</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10 Socijalna zaštita</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2.760.075,22</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2.919.875,00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2.702.709,00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2.464.992,73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89,31%</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91,20%</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101 Bolest i invaliditet</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1.087.500,00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694.875,00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745.000,00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670.111,20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61,62%</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89,95%</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105 Nezaposlenost</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62.909,00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50.071,46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 </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79,59%</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107 Socijalna pomoć stanovništvu koje nije obuhvaćeno redovnim socijalnim programima</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1.315.400,00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1.700.000,00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1.592.800,00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1.465.056,25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111,38%</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91,98%</w:t>
            </w:r>
          </w:p>
        </w:tc>
      </w:tr>
      <w:tr w:rsidR="003D2346" w:rsidRPr="003D2346" w:rsidTr="008D5134">
        <w:trPr>
          <w:trHeight w:val="264"/>
        </w:trPr>
        <w:tc>
          <w:tcPr>
            <w:tcW w:w="39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109 Aktivnosti socijalne zaštite koje nisu drugdje svrstane</w:t>
            </w:r>
          </w:p>
        </w:tc>
        <w:tc>
          <w:tcPr>
            <w:tcW w:w="11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357.175,22</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525.000,00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302.000,00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279.753,82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78,32%</w:t>
            </w:r>
          </w:p>
        </w:tc>
        <w:tc>
          <w:tcPr>
            <w:tcW w:w="8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92,63%</w:t>
            </w:r>
          </w:p>
        </w:tc>
      </w:tr>
    </w:tbl>
    <w:p w:rsidR="003D2346" w:rsidRPr="003D2346" w:rsidRDefault="003D2346" w:rsidP="003D2346">
      <w:pPr>
        <w:spacing w:after="160" w:line="259" w:lineRule="auto"/>
        <w:rPr>
          <w:rFonts w:ascii="Times New Roman" w:eastAsia="Calibri" w:hAnsi="Times New Roman" w:cs="Times New Roman"/>
          <w:b/>
          <w:sz w:val="24"/>
          <w:szCs w:val="24"/>
          <w:lang w:val="hr-HR"/>
        </w:rPr>
      </w:pPr>
    </w:p>
    <w:p w:rsidR="003D2346" w:rsidRPr="003D2346" w:rsidRDefault="003D2346" w:rsidP="003D2346">
      <w:pPr>
        <w:spacing w:after="160" w:line="259" w:lineRule="auto"/>
        <w:rPr>
          <w:rFonts w:ascii="Times New Roman" w:eastAsia="Calibri" w:hAnsi="Times New Roman" w:cs="Times New Roman"/>
          <w:b/>
          <w:sz w:val="24"/>
          <w:szCs w:val="24"/>
          <w:lang w:val="hr-HR"/>
        </w:rPr>
      </w:pPr>
    </w:p>
    <w:p w:rsidR="003D2346" w:rsidRPr="003D2346" w:rsidRDefault="003D2346" w:rsidP="003D2346">
      <w:pPr>
        <w:keepNext/>
        <w:spacing w:after="0" w:line="240" w:lineRule="auto"/>
        <w:outlineLvl w:val="1"/>
        <w:rPr>
          <w:rFonts w:ascii="Times New Roman" w:eastAsia="Times New Roman" w:hAnsi="Times New Roman" w:cs="Times New Roman"/>
          <w:b/>
          <w:bCs/>
          <w:sz w:val="24"/>
          <w:szCs w:val="24"/>
          <w:lang w:val="hr-HR"/>
        </w:rPr>
      </w:pPr>
      <w:r w:rsidRPr="003D2346">
        <w:rPr>
          <w:rFonts w:ascii="Times New Roman" w:eastAsia="Times New Roman" w:hAnsi="Times New Roman" w:cs="Times New Roman"/>
          <w:b/>
          <w:bCs/>
          <w:sz w:val="24"/>
          <w:szCs w:val="24"/>
          <w:lang w:val="hr-HR"/>
        </w:rPr>
        <w:t>B. RAČUN FINANCIRANJA</w:t>
      </w: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keepNext/>
        <w:keepLines/>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1. RAČUN FINANCIRANJA PREMA EKONOMSKOJ KLASIFIKACIJI</w:t>
      </w:r>
    </w:p>
    <w:p w:rsidR="003D2346" w:rsidRPr="003D2346" w:rsidRDefault="003D2346" w:rsidP="003D2346">
      <w:pPr>
        <w:spacing w:after="160" w:line="259" w:lineRule="auto"/>
        <w:rPr>
          <w:rFonts w:ascii="Times New Roman" w:eastAsia="Calibri" w:hAnsi="Times New Roman" w:cs="Times New Roman"/>
          <w:b/>
          <w:sz w:val="24"/>
          <w:szCs w:val="24"/>
          <w:lang w:val="hr-HR"/>
        </w:rPr>
      </w:pPr>
    </w:p>
    <w:tbl>
      <w:tblPr>
        <w:tblW w:w="106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1276"/>
        <w:gridCol w:w="1275"/>
        <w:gridCol w:w="1151"/>
        <w:gridCol w:w="1259"/>
        <w:gridCol w:w="851"/>
        <w:gridCol w:w="850"/>
      </w:tblGrid>
      <w:tr w:rsidR="003D2346" w:rsidRPr="003D2346" w:rsidTr="008D5134">
        <w:trPr>
          <w:trHeight w:val="264"/>
        </w:trPr>
        <w:tc>
          <w:tcPr>
            <w:tcW w:w="3965"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proofErr w:type="spellStart"/>
            <w:r w:rsidRPr="003D2346">
              <w:rPr>
                <w:rFonts w:ascii="Arial" w:eastAsia="Times New Roman" w:hAnsi="Arial" w:cs="Arial"/>
                <w:b/>
                <w:bCs/>
                <w:sz w:val="16"/>
                <w:szCs w:val="16"/>
                <w:lang w:val="hr-HR" w:eastAsia="hr-HR"/>
              </w:rPr>
              <w:t>Racun</w:t>
            </w:r>
            <w:proofErr w:type="spellEnd"/>
            <w:r w:rsidRPr="003D2346">
              <w:rPr>
                <w:rFonts w:ascii="Arial" w:eastAsia="Times New Roman" w:hAnsi="Arial" w:cs="Arial"/>
                <w:b/>
                <w:bCs/>
                <w:sz w:val="16"/>
                <w:szCs w:val="16"/>
                <w:lang w:val="hr-HR" w:eastAsia="hr-HR"/>
              </w:rPr>
              <w:t>/Opis</w:t>
            </w:r>
          </w:p>
        </w:tc>
        <w:tc>
          <w:tcPr>
            <w:tcW w:w="1276"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2021</w:t>
            </w:r>
          </w:p>
        </w:tc>
        <w:tc>
          <w:tcPr>
            <w:tcW w:w="1275"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1151"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plan 2022</w:t>
            </w:r>
          </w:p>
        </w:tc>
        <w:tc>
          <w:tcPr>
            <w:tcW w:w="1259"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851"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4/1</w:t>
            </w:r>
          </w:p>
        </w:tc>
        <w:tc>
          <w:tcPr>
            <w:tcW w:w="85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4/3</w:t>
            </w:r>
          </w:p>
        </w:tc>
      </w:tr>
      <w:tr w:rsidR="003D2346" w:rsidRPr="003D2346" w:rsidTr="008D5134">
        <w:trPr>
          <w:trHeight w:val="264"/>
        </w:trPr>
        <w:tc>
          <w:tcPr>
            <w:tcW w:w="3965"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B. RAČUN ZADUŽIVANJA FINANCIRANJA</w:t>
            </w:r>
          </w:p>
        </w:tc>
        <w:tc>
          <w:tcPr>
            <w:tcW w:w="1276"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1</w:t>
            </w:r>
          </w:p>
        </w:tc>
        <w:tc>
          <w:tcPr>
            <w:tcW w:w="1275"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w:t>
            </w:r>
          </w:p>
        </w:tc>
        <w:tc>
          <w:tcPr>
            <w:tcW w:w="1151"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3</w:t>
            </w:r>
          </w:p>
        </w:tc>
        <w:tc>
          <w:tcPr>
            <w:tcW w:w="1259"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4</w:t>
            </w:r>
          </w:p>
        </w:tc>
        <w:tc>
          <w:tcPr>
            <w:tcW w:w="851"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5</w:t>
            </w:r>
          </w:p>
        </w:tc>
        <w:tc>
          <w:tcPr>
            <w:tcW w:w="850"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6</w:t>
            </w:r>
          </w:p>
        </w:tc>
      </w:tr>
      <w:tr w:rsidR="003D2346" w:rsidRPr="003D2346" w:rsidTr="008D5134">
        <w:trPr>
          <w:trHeight w:val="264"/>
        </w:trPr>
        <w:tc>
          <w:tcPr>
            <w:tcW w:w="396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8 Primici od financijske imovine i zaduživanja                                                        </w:t>
            </w:r>
          </w:p>
        </w:tc>
        <w:tc>
          <w:tcPr>
            <w:tcW w:w="1276"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7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151"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59"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851"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85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r>
      <w:tr w:rsidR="003D2346" w:rsidRPr="003D2346" w:rsidTr="008D5134">
        <w:trPr>
          <w:trHeight w:val="264"/>
        </w:trPr>
        <w:tc>
          <w:tcPr>
            <w:tcW w:w="396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84 Primici od zaduživanja                                                                              </w:t>
            </w:r>
          </w:p>
        </w:tc>
        <w:tc>
          <w:tcPr>
            <w:tcW w:w="1276"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7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151"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59"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851"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85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r>
      <w:tr w:rsidR="003D2346" w:rsidRPr="003D2346" w:rsidTr="008D5134">
        <w:trPr>
          <w:trHeight w:val="264"/>
        </w:trPr>
        <w:tc>
          <w:tcPr>
            <w:tcW w:w="396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844 Primljeni krediti i zajmovi od kreditnih i ostalih financijskih institucija izvan javnog sektora    </w:t>
            </w:r>
          </w:p>
        </w:tc>
        <w:tc>
          <w:tcPr>
            <w:tcW w:w="1276"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7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151"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59"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851"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85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r>
      <w:tr w:rsidR="003D2346" w:rsidRPr="003D2346" w:rsidTr="008D5134">
        <w:trPr>
          <w:trHeight w:val="264"/>
        </w:trPr>
        <w:tc>
          <w:tcPr>
            <w:tcW w:w="3965"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xml:space="preserve"> NETO FINANCIRANJE</w:t>
            </w:r>
          </w:p>
        </w:tc>
        <w:tc>
          <w:tcPr>
            <w:tcW w:w="1276"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1275"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127.372,00</w:t>
            </w:r>
          </w:p>
        </w:tc>
        <w:tc>
          <w:tcPr>
            <w:tcW w:w="1151"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-1.784.469,00</w:t>
            </w:r>
          </w:p>
        </w:tc>
        <w:tc>
          <w:tcPr>
            <w:tcW w:w="1259"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851"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850"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r>
      <w:tr w:rsidR="003D2346" w:rsidRPr="003D2346" w:rsidTr="008D5134">
        <w:trPr>
          <w:trHeight w:val="264"/>
        </w:trPr>
        <w:tc>
          <w:tcPr>
            <w:tcW w:w="396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9 Vlastiti izvori                                                                                     </w:t>
            </w:r>
          </w:p>
        </w:tc>
        <w:tc>
          <w:tcPr>
            <w:tcW w:w="1276"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7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127.372,00</w:t>
            </w:r>
          </w:p>
        </w:tc>
        <w:tc>
          <w:tcPr>
            <w:tcW w:w="1151"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-3.284.469,00</w:t>
            </w:r>
          </w:p>
        </w:tc>
        <w:tc>
          <w:tcPr>
            <w:tcW w:w="1259"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851"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85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r>
      <w:tr w:rsidR="003D2346" w:rsidRPr="003D2346" w:rsidTr="008D5134">
        <w:trPr>
          <w:trHeight w:val="264"/>
        </w:trPr>
        <w:tc>
          <w:tcPr>
            <w:tcW w:w="396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92 Rezultat poslovanja                                                                                 </w:t>
            </w:r>
          </w:p>
        </w:tc>
        <w:tc>
          <w:tcPr>
            <w:tcW w:w="1276"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7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127.372,00</w:t>
            </w:r>
          </w:p>
        </w:tc>
        <w:tc>
          <w:tcPr>
            <w:tcW w:w="1151"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-3.284.469,00</w:t>
            </w:r>
          </w:p>
        </w:tc>
        <w:tc>
          <w:tcPr>
            <w:tcW w:w="1259"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851"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85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r>
      <w:tr w:rsidR="003D2346" w:rsidRPr="003D2346" w:rsidTr="008D5134">
        <w:trPr>
          <w:trHeight w:val="264"/>
        </w:trPr>
        <w:tc>
          <w:tcPr>
            <w:tcW w:w="396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922 Višak/manjak prihoda                                                                                </w:t>
            </w:r>
          </w:p>
        </w:tc>
        <w:tc>
          <w:tcPr>
            <w:tcW w:w="1276"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7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127.372,00</w:t>
            </w:r>
          </w:p>
        </w:tc>
        <w:tc>
          <w:tcPr>
            <w:tcW w:w="1151"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-3.284.469,00</w:t>
            </w:r>
          </w:p>
        </w:tc>
        <w:tc>
          <w:tcPr>
            <w:tcW w:w="1259"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851"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85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r>
      <w:tr w:rsidR="003D2346" w:rsidRPr="003D2346" w:rsidTr="008D5134">
        <w:trPr>
          <w:trHeight w:val="264"/>
        </w:trPr>
        <w:tc>
          <w:tcPr>
            <w:tcW w:w="3965" w:type="dxa"/>
            <w:shd w:val="clear" w:color="000000" w:fill="808080"/>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xml:space="preserve"> KORIŠTENJE SREDSTAVA IZ PRETHODNIH GODINA</w:t>
            </w:r>
          </w:p>
        </w:tc>
        <w:tc>
          <w:tcPr>
            <w:tcW w:w="1276"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1275"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127.372,00</w:t>
            </w:r>
          </w:p>
        </w:tc>
        <w:tc>
          <w:tcPr>
            <w:tcW w:w="1151"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-3.284.469,00</w:t>
            </w:r>
          </w:p>
        </w:tc>
        <w:tc>
          <w:tcPr>
            <w:tcW w:w="1259"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851"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850" w:type="dxa"/>
            <w:shd w:val="clear" w:color="000000"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r>
    </w:tbl>
    <w:p w:rsidR="003D2346" w:rsidRPr="003D2346" w:rsidRDefault="003D2346" w:rsidP="003D2346">
      <w:pPr>
        <w:spacing w:after="160" w:line="259" w:lineRule="auto"/>
        <w:rPr>
          <w:rFonts w:ascii="Times New Roman" w:eastAsia="Calibri" w:hAnsi="Times New Roman" w:cs="Times New Roman"/>
          <w:b/>
          <w:sz w:val="24"/>
          <w:szCs w:val="24"/>
          <w:lang w:val="hr-HR"/>
        </w:rPr>
      </w:pPr>
    </w:p>
    <w:p w:rsidR="003D2346" w:rsidRPr="003D2346" w:rsidRDefault="003D2346" w:rsidP="003D2346">
      <w:pPr>
        <w:spacing w:after="160" w:line="259" w:lineRule="auto"/>
        <w:rPr>
          <w:rFonts w:ascii="Times New Roman" w:eastAsia="Calibri" w:hAnsi="Times New Roman" w:cs="Times New Roman"/>
          <w:b/>
          <w:sz w:val="24"/>
          <w:szCs w:val="24"/>
          <w:lang w:val="hr-HR"/>
        </w:rPr>
      </w:pPr>
    </w:p>
    <w:p w:rsidR="003D2346" w:rsidRPr="003D2346" w:rsidRDefault="003D2346" w:rsidP="003D2346">
      <w:pPr>
        <w:keepNext/>
        <w:keepLines/>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 xml:space="preserve">2. RAČUN FINANCIRANJA PREMA IZVORIMA FINANCIRANJA </w:t>
      </w:r>
    </w:p>
    <w:p w:rsidR="003D2346" w:rsidRPr="003D2346" w:rsidRDefault="003D2346" w:rsidP="003D2346">
      <w:pPr>
        <w:spacing w:after="160" w:line="259" w:lineRule="auto"/>
        <w:jc w:val="both"/>
        <w:rPr>
          <w:rFonts w:ascii="Times New Roman" w:eastAsia="Calibri" w:hAnsi="Times New Roman" w:cs="Times New Roman"/>
          <w:b/>
          <w:sz w:val="24"/>
          <w:szCs w:val="24"/>
          <w:lang w:val="hr-HR"/>
        </w:rPr>
      </w:pPr>
    </w:p>
    <w:tbl>
      <w:tblPr>
        <w:tblW w:w="103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133"/>
        <w:gridCol w:w="1418"/>
        <w:gridCol w:w="1151"/>
        <w:gridCol w:w="1234"/>
        <w:gridCol w:w="992"/>
        <w:gridCol w:w="723"/>
      </w:tblGrid>
      <w:tr w:rsidR="003D2346" w:rsidRPr="003D2346" w:rsidTr="008D5134">
        <w:trPr>
          <w:trHeight w:val="264"/>
        </w:trPr>
        <w:tc>
          <w:tcPr>
            <w:tcW w:w="4112"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Račun / opis</w:t>
            </w:r>
          </w:p>
        </w:tc>
        <w:tc>
          <w:tcPr>
            <w:tcW w:w="1133"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2021.</w:t>
            </w:r>
          </w:p>
        </w:tc>
        <w:tc>
          <w:tcPr>
            <w:tcW w:w="141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75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plan 2022.</w:t>
            </w:r>
          </w:p>
        </w:tc>
        <w:tc>
          <w:tcPr>
            <w:tcW w:w="1234"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992"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4/1</w:t>
            </w:r>
          </w:p>
        </w:tc>
        <w:tc>
          <w:tcPr>
            <w:tcW w:w="723"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4/3</w:t>
            </w:r>
          </w:p>
        </w:tc>
      </w:tr>
      <w:tr w:rsidR="003D2346" w:rsidRPr="003D2346" w:rsidTr="008D5134">
        <w:trPr>
          <w:trHeight w:val="264"/>
        </w:trPr>
        <w:tc>
          <w:tcPr>
            <w:tcW w:w="4112"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B. RAČUN ZADUŽIVANJA FINANCIRANJA</w:t>
            </w:r>
          </w:p>
        </w:tc>
        <w:tc>
          <w:tcPr>
            <w:tcW w:w="1133"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w:t>
            </w:r>
          </w:p>
        </w:tc>
        <w:tc>
          <w:tcPr>
            <w:tcW w:w="141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w:t>
            </w:r>
          </w:p>
        </w:tc>
        <w:tc>
          <w:tcPr>
            <w:tcW w:w="750"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w:t>
            </w:r>
          </w:p>
        </w:tc>
        <w:tc>
          <w:tcPr>
            <w:tcW w:w="1234"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w:t>
            </w:r>
          </w:p>
        </w:tc>
        <w:tc>
          <w:tcPr>
            <w:tcW w:w="992"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w:t>
            </w:r>
          </w:p>
        </w:tc>
        <w:tc>
          <w:tcPr>
            <w:tcW w:w="723"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w:t>
            </w:r>
          </w:p>
        </w:tc>
      </w:tr>
      <w:tr w:rsidR="003D2346" w:rsidRPr="003D2346" w:rsidTr="008D5134">
        <w:trPr>
          <w:trHeight w:val="264"/>
        </w:trPr>
        <w:tc>
          <w:tcPr>
            <w:tcW w:w="4112" w:type="dxa"/>
            <w:shd w:val="clear" w:color="auto" w:fill="D9D9D9" w:themeFill="background1" w:themeFillShade="D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 UKUPNI PRIMICI</w:t>
            </w:r>
          </w:p>
        </w:tc>
        <w:tc>
          <w:tcPr>
            <w:tcW w:w="1133"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418"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750"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34"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992"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723"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112"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 NAMJENSKI PRIMICI</w:t>
            </w:r>
          </w:p>
        </w:tc>
        <w:tc>
          <w:tcPr>
            <w:tcW w:w="113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4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75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7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112"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 Namjenski primici od zaduženja</w:t>
            </w:r>
          </w:p>
        </w:tc>
        <w:tc>
          <w:tcPr>
            <w:tcW w:w="113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4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75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7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112" w:type="dxa"/>
            <w:shd w:val="clear" w:color="auto" w:fill="D9D9D9" w:themeFill="background1" w:themeFillShade="D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 NETO FINANCIRANJE</w:t>
            </w:r>
          </w:p>
        </w:tc>
        <w:tc>
          <w:tcPr>
            <w:tcW w:w="1133"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418"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750"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34"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992"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723"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112" w:type="dxa"/>
            <w:shd w:val="clear" w:color="auto" w:fill="D9D9D9" w:themeFill="background1" w:themeFillShade="D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 KORIŠTENJE SREDSTAVA IZ PRETHODNIH GODINA</w:t>
            </w:r>
          </w:p>
        </w:tc>
        <w:tc>
          <w:tcPr>
            <w:tcW w:w="1133"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418"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127.372,00</w:t>
            </w:r>
          </w:p>
        </w:tc>
        <w:tc>
          <w:tcPr>
            <w:tcW w:w="750"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114.935,00</w:t>
            </w:r>
          </w:p>
        </w:tc>
        <w:tc>
          <w:tcPr>
            <w:tcW w:w="1234"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992"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723"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112"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 NAMJENSKI PRIMICI</w:t>
            </w:r>
          </w:p>
        </w:tc>
        <w:tc>
          <w:tcPr>
            <w:tcW w:w="113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4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127.372,00</w:t>
            </w:r>
          </w:p>
        </w:tc>
        <w:tc>
          <w:tcPr>
            <w:tcW w:w="75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114.935,00</w:t>
            </w:r>
          </w:p>
        </w:tc>
        <w:tc>
          <w:tcPr>
            <w:tcW w:w="12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7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112"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8.1. Višak prihoda iz preneseni</w:t>
            </w:r>
          </w:p>
        </w:tc>
        <w:tc>
          <w:tcPr>
            <w:tcW w:w="113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4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127.372,00</w:t>
            </w:r>
          </w:p>
        </w:tc>
        <w:tc>
          <w:tcPr>
            <w:tcW w:w="75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114.935,00</w:t>
            </w:r>
          </w:p>
        </w:tc>
        <w:tc>
          <w:tcPr>
            <w:tcW w:w="12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7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112"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8.1.02 Višak prihoda preneseni - proračunski korisnik</w:t>
            </w:r>
          </w:p>
        </w:tc>
        <w:tc>
          <w:tcPr>
            <w:tcW w:w="113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41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127.372,00</w:t>
            </w:r>
          </w:p>
        </w:tc>
        <w:tc>
          <w:tcPr>
            <w:tcW w:w="75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114.935,00</w:t>
            </w:r>
          </w:p>
        </w:tc>
        <w:tc>
          <w:tcPr>
            <w:tcW w:w="1234"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723"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bl>
    <w:p w:rsidR="003D2346" w:rsidRPr="003D2346" w:rsidRDefault="003D2346" w:rsidP="003D2346">
      <w:pPr>
        <w:spacing w:after="160" w:line="259" w:lineRule="auto"/>
        <w:jc w:val="both"/>
        <w:rPr>
          <w:rFonts w:ascii="Times New Roman" w:eastAsia="Calibri" w:hAnsi="Times New Roman" w:cs="Times New Roman"/>
          <w:b/>
          <w:sz w:val="24"/>
          <w:szCs w:val="24"/>
          <w:lang w:val="hr-HR"/>
        </w:rPr>
      </w:pPr>
    </w:p>
    <w:p w:rsidR="003D2346" w:rsidRPr="003D2346" w:rsidRDefault="003D2346" w:rsidP="003D2346">
      <w:pPr>
        <w:keepNext/>
        <w:keepLines/>
        <w:spacing w:before="240" w:after="0" w:line="259" w:lineRule="auto"/>
        <w:jc w:val="center"/>
        <w:outlineLvl w:val="0"/>
        <w:rPr>
          <w:rFonts w:ascii="Cambria" w:eastAsia="Times New Roman" w:hAnsi="Cambria" w:cs="Times New Roman"/>
          <w:color w:val="365F91"/>
          <w:sz w:val="32"/>
          <w:szCs w:val="32"/>
          <w:lang w:val="hr-HR"/>
        </w:rPr>
      </w:pPr>
      <w:r w:rsidRPr="003D2346">
        <w:rPr>
          <w:rFonts w:ascii="Cambria" w:eastAsia="Times New Roman" w:hAnsi="Cambria" w:cs="Times New Roman"/>
          <w:color w:val="365F91"/>
          <w:sz w:val="32"/>
          <w:szCs w:val="32"/>
          <w:lang w:val="hr-HR"/>
        </w:rPr>
        <w:t>II. POSEBNI DIO PRORAČUNA</w:t>
      </w:r>
    </w:p>
    <w:p w:rsidR="003D2346" w:rsidRPr="003D2346" w:rsidRDefault="003D2346" w:rsidP="003D2346">
      <w:pPr>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Rashodi i izdaci Proračuna Općine Seget za 2022. godinu iskazani su prema organizacijskoj i programskoj klasifikaciji, izvršeni su kako slijedi: </w:t>
      </w: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24"/>
          <w:szCs w:val="24"/>
          <w:lang w:val="hr-HR"/>
        </w:rPr>
      </w:pPr>
      <w:r w:rsidRPr="003D2346">
        <w:rPr>
          <w:rFonts w:ascii="Cambria" w:eastAsia="Times New Roman" w:hAnsi="Cambria" w:cs="Times New Roman"/>
          <w:color w:val="365F91"/>
          <w:sz w:val="24"/>
          <w:szCs w:val="24"/>
          <w:lang w:val="hr-HR"/>
        </w:rPr>
        <w:t xml:space="preserve">1.IZVRŠENJE PO ORGANIZACIJSKOJ KLASIFIKACIJI </w:t>
      </w:r>
      <w:r w:rsidRPr="003D2346">
        <w:rPr>
          <w:rFonts w:ascii="Cambria" w:eastAsia="Times New Roman" w:hAnsi="Cambria" w:cs="Times New Roman"/>
          <w:color w:val="365F91"/>
          <w:sz w:val="24"/>
          <w:szCs w:val="24"/>
          <w:lang w:val="hr-HR"/>
        </w:rPr>
        <w:tab/>
      </w:r>
    </w:p>
    <w:p w:rsidR="003D2346" w:rsidRPr="003D2346" w:rsidRDefault="003D2346" w:rsidP="003D2346">
      <w:pPr>
        <w:spacing w:after="160" w:line="259" w:lineRule="auto"/>
        <w:rPr>
          <w:rFonts w:ascii="Calibri" w:eastAsia="Calibri" w:hAnsi="Calibri" w:cs="Times New Roman"/>
          <w:lang w:val="hr-HR"/>
        </w:rPr>
      </w:pPr>
    </w:p>
    <w:tbl>
      <w:tblPr>
        <w:tblW w:w="9915" w:type="dxa"/>
        <w:tblLook w:val="04A0" w:firstRow="1" w:lastRow="0" w:firstColumn="1" w:lastColumn="0" w:noHBand="0" w:noVBand="1"/>
      </w:tblPr>
      <w:tblGrid>
        <w:gridCol w:w="1552"/>
        <w:gridCol w:w="992"/>
        <w:gridCol w:w="2835"/>
        <w:gridCol w:w="1276"/>
        <w:gridCol w:w="1134"/>
        <w:gridCol w:w="1275"/>
        <w:gridCol w:w="851"/>
      </w:tblGrid>
      <w:tr w:rsidR="003D2346" w:rsidRPr="003D2346" w:rsidTr="008D5134">
        <w:trPr>
          <w:trHeight w:val="255"/>
        </w:trPr>
        <w:tc>
          <w:tcPr>
            <w:tcW w:w="2544"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RGP</w:t>
            </w:r>
          </w:p>
        </w:tc>
        <w:tc>
          <w:tcPr>
            <w:tcW w:w="2835" w:type="dxa"/>
            <w:tcBorders>
              <w:top w:val="single" w:sz="4" w:space="0" w:color="auto"/>
              <w:left w:val="nil"/>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Opis</w:t>
            </w:r>
          </w:p>
        </w:tc>
        <w:tc>
          <w:tcPr>
            <w:tcW w:w="1276" w:type="dxa"/>
            <w:tcBorders>
              <w:top w:val="single" w:sz="4" w:space="0" w:color="auto"/>
              <w:left w:val="nil"/>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Izvorni plan 2022</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Tekući plan 2022</w:t>
            </w:r>
          </w:p>
        </w:tc>
        <w:tc>
          <w:tcPr>
            <w:tcW w:w="1275" w:type="dxa"/>
            <w:tcBorders>
              <w:top w:val="single" w:sz="4" w:space="0" w:color="auto"/>
              <w:left w:val="nil"/>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Izvršenje 2022</w:t>
            </w:r>
          </w:p>
        </w:tc>
        <w:tc>
          <w:tcPr>
            <w:tcW w:w="851" w:type="dxa"/>
            <w:tcBorders>
              <w:top w:val="single" w:sz="4" w:space="0" w:color="auto"/>
              <w:left w:val="nil"/>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Indeks 3/2</w:t>
            </w:r>
          </w:p>
        </w:tc>
      </w:tr>
      <w:tr w:rsidR="003D2346" w:rsidRPr="003D2346" w:rsidTr="008D5134">
        <w:trPr>
          <w:trHeight w:val="255"/>
        </w:trPr>
        <w:tc>
          <w:tcPr>
            <w:tcW w:w="2544"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 </w:t>
            </w:r>
          </w:p>
        </w:tc>
        <w:tc>
          <w:tcPr>
            <w:tcW w:w="2835" w:type="dxa"/>
            <w:tcBorders>
              <w:top w:val="single" w:sz="4" w:space="0" w:color="auto"/>
              <w:left w:val="nil"/>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 </w:t>
            </w:r>
          </w:p>
        </w:tc>
        <w:tc>
          <w:tcPr>
            <w:tcW w:w="1276" w:type="dxa"/>
            <w:tcBorders>
              <w:top w:val="single" w:sz="4" w:space="0" w:color="auto"/>
              <w:left w:val="nil"/>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1</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2</w:t>
            </w:r>
          </w:p>
        </w:tc>
        <w:tc>
          <w:tcPr>
            <w:tcW w:w="1275" w:type="dxa"/>
            <w:tcBorders>
              <w:top w:val="single" w:sz="4" w:space="0" w:color="auto"/>
              <w:left w:val="nil"/>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3</w:t>
            </w:r>
          </w:p>
        </w:tc>
        <w:tc>
          <w:tcPr>
            <w:tcW w:w="851" w:type="dxa"/>
            <w:tcBorders>
              <w:top w:val="single" w:sz="4" w:space="0" w:color="auto"/>
              <w:left w:val="nil"/>
              <w:bottom w:val="single" w:sz="4" w:space="0" w:color="auto"/>
              <w:right w:val="single" w:sz="4" w:space="0" w:color="auto"/>
            </w:tcBorders>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4</w:t>
            </w:r>
          </w:p>
        </w:tc>
      </w:tr>
      <w:tr w:rsidR="003D2346" w:rsidRPr="003D2346" w:rsidTr="008D5134">
        <w:trPr>
          <w:trHeight w:val="255"/>
        </w:trPr>
        <w:tc>
          <w:tcPr>
            <w:tcW w:w="2544"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 </w:t>
            </w:r>
          </w:p>
        </w:tc>
        <w:tc>
          <w:tcPr>
            <w:tcW w:w="2835" w:type="dxa"/>
            <w:tcBorders>
              <w:top w:val="single" w:sz="4" w:space="0" w:color="auto"/>
              <w:left w:val="nil"/>
              <w:bottom w:val="single" w:sz="4" w:space="0" w:color="auto"/>
              <w:right w:val="single" w:sz="4" w:space="0" w:color="auto"/>
            </w:tcBorders>
            <w:shd w:val="clear" w:color="000000" w:fill="C0C0C0"/>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UKUPNO RASHODI I IZDATCI</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48.837.603,00</w:t>
            </w:r>
          </w:p>
        </w:tc>
        <w:tc>
          <w:tcPr>
            <w:tcW w:w="1134" w:type="dxa"/>
            <w:tcBorders>
              <w:top w:val="single" w:sz="4" w:space="0" w:color="auto"/>
              <w:left w:val="nil"/>
              <w:bottom w:val="single" w:sz="4" w:space="0" w:color="auto"/>
              <w:right w:val="single" w:sz="4" w:space="0" w:color="auto"/>
            </w:tcBorders>
            <w:shd w:val="clear" w:color="000000" w:fill="C0C0C0"/>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26.205.661,00</w:t>
            </w:r>
          </w:p>
        </w:tc>
        <w:tc>
          <w:tcPr>
            <w:tcW w:w="1275" w:type="dxa"/>
            <w:tcBorders>
              <w:top w:val="single" w:sz="4" w:space="0" w:color="auto"/>
              <w:left w:val="nil"/>
              <w:bottom w:val="single" w:sz="4" w:space="0" w:color="auto"/>
              <w:right w:val="single" w:sz="4" w:space="0" w:color="auto"/>
            </w:tcBorders>
            <w:shd w:val="clear" w:color="000000" w:fill="C0C0C0"/>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20.332.794,32</w:t>
            </w:r>
          </w:p>
        </w:tc>
        <w:tc>
          <w:tcPr>
            <w:tcW w:w="851" w:type="dxa"/>
            <w:tcBorders>
              <w:top w:val="single" w:sz="4" w:space="0" w:color="auto"/>
              <w:left w:val="nil"/>
              <w:bottom w:val="single" w:sz="4" w:space="0" w:color="auto"/>
              <w:right w:val="single" w:sz="4" w:space="0" w:color="auto"/>
            </w:tcBorders>
            <w:shd w:val="clear" w:color="000000" w:fill="C0C0C0"/>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77,59%</w:t>
            </w:r>
          </w:p>
        </w:tc>
      </w:tr>
      <w:tr w:rsidR="003D2346" w:rsidRPr="003D2346" w:rsidTr="008D5134">
        <w:trPr>
          <w:trHeight w:val="255"/>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Razdjel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001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JEDINSTVENI UPRAVNI ODJEL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48.032.728,00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25.621.786,00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19.889.386,14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77,63%</w:t>
            </w:r>
          </w:p>
        </w:tc>
      </w:tr>
      <w:tr w:rsidR="003D2346" w:rsidRPr="003D2346" w:rsidTr="008D5134">
        <w:trPr>
          <w:trHeight w:val="255"/>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Glava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00101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JEDINSTVENI UPRAVNI ODJEL</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41.476.770,00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21.353.399,93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16.015.650,95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75,00%</w:t>
            </w:r>
          </w:p>
        </w:tc>
      </w:tr>
      <w:tr w:rsidR="003D2346" w:rsidRPr="003D2346" w:rsidTr="008D5134">
        <w:trPr>
          <w:trHeight w:val="255"/>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Glava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00102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DJEČJI VRTIĆ</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6.555.958,00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4.268.386,07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3.873.735,19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90,75%</w:t>
            </w:r>
          </w:p>
        </w:tc>
      </w:tr>
      <w:tr w:rsidR="003D2346" w:rsidRPr="003D2346" w:rsidTr="008D5134">
        <w:trPr>
          <w:trHeight w:val="255"/>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Proračunski korisnik</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43247</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Dječji vrtić Tratinčica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6.555.958,00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4.268.386,07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3.873.735,19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90,75%</w:t>
            </w:r>
          </w:p>
        </w:tc>
      </w:tr>
      <w:tr w:rsidR="003D2346" w:rsidRPr="003D2346" w:rsidTr="008D5134">
        <w:trPr>
          <w:trHeight w:val="255"/>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Razdjel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002</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OPĆINSKO VIJEĆE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280.000,00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200.000,00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140.446,22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70,22%</w:t>
            </w:r>
          </w:p>
        </w:tc>
      </w:tr>
      <w:tr w:rsidR="003D2346" w:rsidRPr="003D2346" w:rsidTr="008D5134">
        <w:trPr>
          <w:trHeight w:val="255"/>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Glava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00201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OPĆINSKO VIJEĆE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280.000,00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200.000,00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140.446,22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70,22%</w:t>
            </w:r>
          </w:p>
        </w:tc>
      </w:tr>
      <w:tr w:rsidR="003D2346" w:rsidRPr="003D2346" w:rsidTr="008D5134">
        <w:trPr>
          <w:trHeight w:val="255"/>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Razdjel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003</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OPĆINSKI NAČELNIK</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524.875,00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383.875,00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302.961,96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78,92%</w:t>
            </w:r>
          </w:p>
        </w:tc>
      </w:tr>
      <w:tr w:rsidR="003D2346" w:rsidRPr="003D2346" w:rsidTr="008D5134">
        <w:trPr>
          <w:trHeight w:val="255"/>
        </w:trPr>
        <w:tc>
          <w:tcPr>
            <w:tcW w:w="1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Glava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00301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OPĆINSKI NAČELNIK</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524.875,00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383.875,00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302.961,96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4"/>
                <w:szCs w:val="14"/>
                <w:lang w:val="hr-HR" w:eastAsia="hr-HR"/>
              </w:rPr>
            </w:pPr>
            <w:r w:rsidRPr="003D2346">
              <w:rPr>
                <w:rFonts w:ascii="Arial" w:eastAsia="Times New Roman" w:hAnsi="Arial" w:cs="Arial"/>
                <w:b/>
                <w:bCs/>
                <w:sz w:val="14"/>
                <w:szCs w:val="14"/>
                <w:lang w:val="hr-HR" w:eastAsia="hr-HR"/>
              </w:rPr>
              <w:t>78,92%</w:t>
            </w:r>
          </w:p>
        </w:tc>
      </w:tr>
    </w:tbl>
    <w:p w:rsidR="003D2346" w:rsidRPr="003D2346" w:rsidRDefault="003D2346" w:rsidP="003D2346">
      <w:pPr>
        <w:tabs>
          <w:tab w:val="center" w:pos="4536"/>
        </w:tabs>
        <w:spacing w:after="160" w:line="259" w:lineRule="auto"/>
        <w:rPr>
          <w:rFonts w:ascii="Times New Roman" w:eastAsia="Calibri" w:hAnsi="Times New Roman" w:cs="Times New Roman"/>
          <w:b/>
          <w:sz w:val="24"/>
          <w:szCs w:val="24"/>
          <w:lang w:val="hr-HR"/>
        </w:rPr>
      </w:pP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24"/>
          <w:szCs w:val="24"/>
          <w:lang w:val="hr-HR"/>
        </w:rPr>
      </w:pPr>
      <w:r w:rsidRPr="003D2346">
        <w:rPr>
          <w:rFonts w:ascii="Cambria" w:eastAsia="Times New Roman" w:hAnsi="Cambria" w:cs="Times New Roman"/>
          <w:color w:val="365F91"/>
          <w:sz w:val="24"/>
          <w:szCs w:val="24"/>
          <w:lang w:val="hr-HR"/>
        </w:rPr>
        <w:t xml:space="preserve">2.RASHODI PREMA  PROGRAMSKOJ KLASIFIKACIJI </w:t>
      </w:r>
    </w:p>
    <w:p w:rsidR="003D2346" w:rsidRPr="003D2346" w:rsidRDefault="003D2346" w:rsidP="003D2346">
      <w:pPr>
        <w:spacing w:after="160" w:line="259" w:lineRule="auto"/>
        <w:jc w:val="both"/>
        <w:rPr>
          <w:rFonts w:ascii="Times New Roman" w:eastAsia="Calibri" w:hAnsi="Times New Roman" w:cs="Times New Roman"/>
          <w:sz w:val="24"/>
          <w:szCs w:val="24"/>
          <w:lang w:val="hr-HR"/>
        </w:rPr>
      </w:pPr>
    </w:p>
    <w:tbl>
      <w:tblPr>
        <w:tblW w:w="10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675"/>
        <w:gridCol w:w="3570"/>
        <w:gridCol w:w="1240"/>
        <w:gridCol w:w="1240"/>
        <w:gridCol w:w="1240"/>
        <w:gridCol w:w="848"/>
      </w:tblGrid>
      <w:tr w:rsidR="003D2346" w:rsidRPr="003D2346" w:rsidTr="008D5134">
        <w:trPr>
          <w:trHeight w:val="264"/>
        </w:trPr>
        <w:tc>
          <w:tcPr>
            <w:tcW w:w="425" w:type="dxa"/>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Organizacijska klasifikacija</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Izvori</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848"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Projekt/Aktivnost</w:t>
            </w:r>
          </w:p>
        </w:tc>
        <w:tc>
          <w:tcPr>
            <w:tcW w:w="357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VRSTA RASHODA I IZDATAKA</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plan 2022</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848"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3/2</w:t>
            </w:r>
          </w:p>
        </w:tc>
      </w:tr>
      <w:tr w:rsidR="003D2346" w:rsidRPr="003D2346" w:rsidTr="008D5134">
        <w:trPr>
          <w:trHeight w:val="264"/>
        </w:trPr>
        <w:tc>
          <w:tcPr>
            <w:tcW w:w="5670" w:type="dxa"/>
            <w:gridSpan w:val="3"/>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w:t>
            </w:r>
          </w:p>
        </w:tc>
        <w:tc>
          <w:tcPr>
            <w:tcW w:w="1240"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w:t>
            </w:r>
          </w:p>
        </w:tc>
        <w:tc>
          <w:tcPr>
            <w:tcW w:w="848"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w:t>
            </w:r>
          </w:p>
        </w:tc>
      </w:tr>
      <w:tr w:rsidR="003D2346" w:rsidRPr="003D2346" w:rsidTr="008D5134">
        <w:trPr>
          <w:trHeight w:val="264"/>
        </w:trPr>
        <w:tc>
          <w:tcPr>
            <w:tcW w:w="425" w:type="dxa"/>
            <w:shd w:val="clear" w:color="auto" w:fill="D9D9D9" w:themeFill="background1" w:themeFillShade="D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auto" w:fill="D9D9D9" w:themeFill="background1" w:themeFillShade="D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UKUPNO RASHODI I IZDATCI</w:t>
            </w:r>
          </w:p>
        </w:tc>
        <w:tc>
          <w:tcPr>
            <w:tcW w:w="1240"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48.837.603,00</w:t>
            </w:r>
          </w:p>
        </w:tc>
        <w:tc>
          <w:tcPr>
            <w:tcW w:w="1240"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26.205.661,00</w:t>
            </w:r>
          </w:p>
        </w:tc>
        <w:tc>
          <w:tcPr>
            <w:tcW w:w="1240"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20.332.794,32</w:t>
            </w:r>
          </w:p>
        </w:tc>
        <w:tc>
          <w:tcPr>
            <w:tcW w:w="848" w:type="dxa"/>
            <w:shd w:val="clear" w:color="auto" w:fill="D9D9D9" w:themeFill="background1" w:themeFillShade="D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77,59%</w:t>
            </w:r>
          </w:p>
        </w:tc>
      </w:tr>
      <w:tr w:rsidR="003D2346" w:rsidRPr="003D2346" w:rsidTr="008D5134">
        <w:trPr>
          <w:trHeight w:val="264"/>
        </w:trPr>
        <w:tc>
          <w:tcPr>
            <w:tcW w:w="425" w:type="dxa"/>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RAZDJEL 001 JEDINSTVENI UPRAVNI ODJEL</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48.032.728,00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25.621.786,00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19.889.386,14</w:t>
            </w:r>
          </w:p>
        </w:tc>
        <w:tc>
          <w:tcPr>
            <w:tcW w:w="848"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77,63%</w:t>
            </w:r>
          </w:p>
        </w:tc>
      </w:tr>
      <w:tr w:rsidR="003D2346" w:rsidRPr="003D2346" w:rsidTr="008D5134">
        <w:trPr>
          <w:trHeight w:val="264"/>
        </w:trPr>
        <w:tc>
          <w:tcPr>
            <w:tcW w:w="425" w:type="dxa"/>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GLAVA 00101 JEDINSTVENI UPRAVNI ODJEL</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41.476.770,00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21.353.399,93</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16.015.650,95</w:t>
            </w:r>
          </w:p>
        </w:tc>
        <w:tc>
          <w:tcPr>
            <w:tcW w:w="848"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75,00%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11.374.085,00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7.824.925,00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6.859.205,42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87,66%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11.374.085,00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7.824.925,00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6.859.205,42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87,66%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17.937.160,00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10.258.565,93</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7.119.246,22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69,40%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4.1.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8.593.850,00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3.118.315,93</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1.094.713,68</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35,11%</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7.775.060,00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6.570.500,00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5.483.164,15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83,45%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4.3.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1.269.625,00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536.750,00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525.160,05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97,84%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4.4. Prihodi od upravljanja grobljem</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137.125,00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16.208,34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49,12%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4.8. Vodni doprinos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161.500,00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3.653.275,00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333.659,00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394.698,71</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118,29%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5.1. Tekuće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883.400,00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26.681,25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57,69%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5.2. Kapitalne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1.533.625,00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187.000,00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304.375,00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162,77%</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5.3. Tekuće potpore iz državnog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45.500,00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15.120,00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33,23%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5.4. Kapitalne potpore iz državnog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5.6. Kapitalne potpore od Hrvatskih cesta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5.7. Kapitalne potpore od Lučke uprave SDŽ</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746.250,00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5.9. Tekuće pomoći od HZZ-a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54.909,00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48.522,46</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88,37%</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8.263.500,00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2.687.500,00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1.642.500,60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61,12%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6.269.750,00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2.063.750,00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1.642.500,60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79,59%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7.2. Povrat prihoda od prodaje grob </w:t>
            </w:r>
            <w:proofErr w:type="spellStart"/>
            <w:r w:rsidRPr="003D2346">
              <w:rPr>
                <w:rFonts w:ascii="Arial" w:eastAsia="Times New Roman" w:hAnsi="Arial" w:cs="Arial"/>
                <w:b/>
                <w:bCs/>
                <w:color w:val="333333"/>
                <w:sz w:val="16"/>
                <w:szCs w:val="16"/>
                <w:lang w:val="hr-HR" w:eastAsia="hr-HR"/>
              </w:rPr>
              <w:t>mjes</w:t>
            </w:r>
            <w:proofErr w:type="spellEnd"/>
            <w:r w:rsidRPr="003D2346">
              <w:rPr>
                <w:rFonts w:ascii="Arial" w:eastAsia="Times New Roman" w:hAnsi="Arial" w:cs="Arial"/>
                <w:b/>
                <w:bCs/>
                <w:color w:val="333333"/>
                <w:sz w:val="16"/>
                <w:szCs w:val="16"/>
                <w:lang w:val="hr-HR" w:eastAsia="hr-HR"/>
              </w:rPr>
              <w:t xml:space="preserve"> u opće prihode i </w:t>
            </w:r>
            <w:proofErr w:type="spellStart"/>
            <w:r w:rsidRPr="003D2346">
              <w:rPr>
                <w:rFonts w:ascii="Arial" w:eastAsia="Times New Roman" w:hAnsi="Arial" w:cs="Arial"/>
                <w:b/>
                <w:bCs/>
                <w:color w:val="333333"/>
                <w:sz w:val="16"/>
                <w:szCs w:val="16"/>
                <w:lang w:val="hr-HR" w:eastAsia="hr-HR"/>
              </w:rPr>
              <w:t>primitk</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623.750,00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7.3. Prihod od prodaje grobnih mjesta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1.370.000,00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623.750,00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8. NAMJENSKI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8.2. Ostale naknade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JAVNA UPRAVA I ADMINISTRACIJA</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4.584.250,00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3.619.750,00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3.299.862,14</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91,16%</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Uprava i administracija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4.584.250,00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3.619.750,00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3.299.862,14</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91,16%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4.584.250,00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3.619.750,00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3.299.862,14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91,16%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4.584.250,00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3.619.750,00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3.299.862,14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91,16%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Plaće (Bruto)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1.673.000,00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1.672.637,45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99,98%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Plaće za redovan rad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1.672.637,45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rashodi za zaposlene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342.616,73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85,65%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rashodi za zaposlene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342.616,73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Doprinosi na plaće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278.000,00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277.546,18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99,84%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Doprinosi za obvezno zdravstveno osiguranje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277.546,18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Naknade troškova zaposlenima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134.000,00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124.069,21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92,59%</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Službena putovanja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43.202,71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za prijevoz, za rad na terenu i odvojeni život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71.979,00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Stručno usavršavanje zaposlenika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8.887,50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245.375,00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305.489,08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82,12%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Uredski materijal i ostali materijalni rashodi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78.183,28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sirovine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9.537,66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Energija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217.768,14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1.118.875,00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732.750,00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563.952,89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76,96%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telefona, pošte i prijevoza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117.668,86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promidžbe i informiranja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48.172,00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348.860,48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3238</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Računalne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8.868,75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40.382,80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13.550,60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45,17%</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3295</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Pristojbe i naknade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13.550,60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KAPITALNA ULAGANJA U KOMUNALNU INFRASTRUKTURU</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15.219.100,00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3.730.065,93</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1.239.650,00</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33,23%</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Izgradnja javnih površina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4.625.875,00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1.289.625,00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264.650,00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20,52%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4.128.375,00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1.289.625,00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264.650,00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20,52%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4.1. Prihodi po posebnim </w:t>
            </w:r>
            <w:proofErr w:type="spellStart"/>
            <w:r w:rsidRPr="003D2346">
              <w:rPr>
                <w:rFonts w:ascii="Arial" w:eastAsia="Times New Roman" w:hAnsi="Arial" w:cs="Arial"/>
                <w:b/>
                <w:bCs/>
                <w:color w:val="333333"/>
                <w:sz w:val="16"/>
                <w:szCs w:val="16"/>
                <w:lang w:val="hr-HR" w:eastAsia="hr-HR"/>
              </w:rPr>
              <w:t>proisima</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3.630.875,00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1.024.875,00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2.383.375,00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1.024.875,00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Postrojenja i oprema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1.247.500,00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4227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Uređaji, strojevi i oprema za ostale namjene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4.3.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497.500,00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264.750,00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264.650,00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99,96%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Postrojenja i oprema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264.750,00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264.650,00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99,96%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4227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Uređaji, strojevi i oprema za ostale namjene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264.650,00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5.2. Kapitalne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Izgradnja nerazvrstanih cesta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2.138.500,00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1.030.846,00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332.500,00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1.498.500,00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1.030.846,00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332.500,00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32,26%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4.1. Prihodi po posebnim </w:t>
            </w:r>
            <w:proofErr w:type="spellStart"/>
            <w:r w:rsidRPr="003D2346">
              <w:rPr>
                <w:rFonts w:ascii="Arial" w:eastAsia="Times New Roman" w:hAnsi="Arial" w:cs="Arial"/>
                <w:b/>
                <w:bCs/>
                <w:color w:val="333333"/>
                <w:sz w:val="16"/>
                <w:szCs w:val="16"/>
                <w:lang w:val="hr-HR" w:eastAsia="hr-HR"/>
              </w:rPr>
              <w:t>proisima</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1.498.500,00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1.030.846,00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332.500,00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32,26%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1.498.500,00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1.030.846,00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332.500,00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Ceste, željeznice i ostali prometni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332.500,00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5.2. Kapitalne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5.6. Kapitalne potpore od Hrvatskih cesta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Ceste, željeznice i ostali prometni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A100003</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Izgradnja javne rasvjete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2.296.100,00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641.969,93</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77,89%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2.296.100,00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641.969,93</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77,89%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4.1. Prihodi po posebnim </w:t>
            </w:r>
            <w:proofErr w:type="spellStart"/>
            <w:r w:rsidRPr="003D2346">
              <w:rPr>
                <w:rFonts w:ascii="Arial" w:eastAsia="Times New Roman" w:hAnsi="Arial" w:cs="Arial"/>
                <w:b/>
                <w:bCs/>
                <w:color w:val="333333"/>
                <w:sz w:val="16"/>
                <w:szCs w:val="16"/>
                <w:lang w:val="hr-HR" w:eastAsia="hr-HR"/>
              </w:rPr>
              <w:t>proisima</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2.296.100,00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641.969,93</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77,89%</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2.296.100,00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641.969,93</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77,89%</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500.000,00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A100004</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Izgradnja vodoopskrbnog sustava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161.500,00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161.500,00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4.8. Vodni doprinos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161.500,00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386</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Kapitalne pomoći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161.500,00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3861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Kapitalne pomoći kreditnim i ostalim financijskim institucijama te trgovačkim društvima u javnom </w:t>
            </w:r>
            <w:proofErr w:type="spellStart"/>
            <w:r w:rsidRPr="003D2346">
              <w:rPr>
                <w:rFonts w:ascii="Arial" w:eastAsia="Times New Roman" w:hAnsi="Arial" w:cs="Arial"/>
                <w:sz w:val="16"/>
                <w:szCs w:val="16"/>
                <w:lang w:val="hr-HR" w:eastAsia="hr-HR"/>
              </w:rPr>
              <w:t>sek</w:t>
            </w:r>
            <w:proofErr w:type="spellEnd"/>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A100005</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Izgradnja groblja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2.081.125,00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623.750,00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4.1. Prihodi po posebnim </w:t>
            </w:r>
            <w:proofErr w:type="spellStart"/>
            <w:r w:rsidRPr="003D2346">
              <w:rPr>
                <w:rFonts w:ascii="Arial" w:eastAsia="Times New Roman" w:hAnsi="Arial" w:cs="Arial"/>
                <w:b/>
                <w:bCs/>
                <w:color w:val="333333"/>
                <w:sz w:val="16"/>
                <w:szCs w:val="16"/>
                <w:lang w:val="hr-HR" w:eastAsia="hr-HR"/>
              </w:rPr>
              <w:t>proisima</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1.993.750,00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623.750,00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7.2. Povrat prihoda od prodaje grob </w:t>
            </w:r>
            <w:proofErr w:type="spellStart"/>
            <w:r w:rsidRPr="003D2346">
              <w:rPr>
                <w:rFonts w:ascii="Arial" w:eastAsia="Times New Roman" w:hAnsi="Arial" w:cs="Arial"/>
                <w:b/>
                <w:bCs/>
                <w:color w:val="333333"/>
                <w:sz w:val="16"/>
                <w:szCs w:val="16"/>
                <w:lang w:val="hr-HR" w:eastAsia="hr-HR"/>
              </w:rPr>
              <w:t>mjes</w:t>
            </w:r>
            <w:proofErr w:type="spellEnd"/>
            <w:r w:rsidRPr="003D2346">
              <w:rPr>
                <w:rFonts w:ascii="Arial" w:eastAsia="Times New Roman" w:hAnsi="Arial" w:cs="Arial"/>
                <w:b/>
                <w:bCs/>
                <w:color w:val="333333"/>
                <w:sz w:val="16"/>
                <w:szCs w:val="16"/>
                <w:lang w:val="hr-HR" w:eastAsia="hr-HR"/>
              </w:rPr>
              <w:t xml:space="preserve"> u opće prihode i </w:t>
            </w:r>
            <w:proofErr w:type="spellStart"/>
            <w:r w:rsidRPr="003D2346">
              <w:rPr>
                <w:rFonts w:ascii="Arial" w:eastAsia="Times New Roman" w:hAnsi="Arial" w:cs="Arial"/>
                <w:b/>
                <w:bCs/>
                <w:color w:val="333333"/>
                <w:sz w:val="16"/>
                <w:szCs w:val="16"/>
                <w:lang w:val="hr-HR" w:eastAsia="hr-HR"/>
              </w:rPr>
              <w:t>primitk</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623.750,00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623.750,00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7.3. Prihod od prodaje grobnih mjesta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1.370.000,00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623.750,00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623.750,00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Kapitalni projekt: Izgradnja građevine za gospodarenjem komunalnim otpadom</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5.2. Kapitalne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5.4. Kapitalne potpore iz državnog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K100003</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Kapitalni projekt: Ulaganje u pomorsko dobro</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833.625,00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4.1. Prihodi po posebnim </w:t>
            </w:r>
            <w:proofErr w:type="spellStart"/>
            <w:r w:rsidRPr="003D2346">
              <w:rPr>
                <w:rFonts w:ascii="Arial" w:eastAsia="Times New Roman" w:hAnsi="Arial" w:cs="Arial"/>
                <w:b/>
                <w:bCs/>
                <w:color w:val="333333"/>
                <w:sz w:val="16"/>
                <w:szCs w:val="16"/>
                <w:lang w:val="hr-HR" w:eastAsia="hr-HR"/>
              </w:rPr>
              <w:t>proisima</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Postrojenja i oprema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4225</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Instrumenti, uređaji i strojevi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746.250,00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5.7. Kapitalne potpore od Lučke uprave SDŽ</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746.250,00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Pomoći unutar općeg proračuna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497.500,00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3632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Kapitalne pomoći unutar općeg proračuna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Ceste, željeznice i ostali prometni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K100006</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Kapitalni projekt: Izgradnja nerazvrstanih cesta 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2.833.625,00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119.000,00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118.125,00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99,26%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497.500,00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119.000,00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4.1. Prihodi po posebnim </w:t>
            </w:r>
            <w:proofErr w:type="spellStart"/>
            <w:r w:rsidRPr="003D2346">
              <w:rPr>
                <w:rFonts w:ascii="Arial" w:eastAsia="Times New Roman" w:hAnsi="Arial" w:cs="Arial"/>
                <w:b/>
                <w:bCs/>
                <w:color w:val="333333"/>
                <w:sz w:val="16"/>
                <w:szCs w:val="16"/>
                <w:lang w:val="hr-HR" w:eastAsia="hr-HR"/>
              </w:rPr>
              <w:t>proisima</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497.500,00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119.000,00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497.500,00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119.000,00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Ceste, željeznice i ostali prometni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336.125,00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118.125,00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5.2. Kapitalne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336.125,00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118.125,00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336.125,00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118.125,00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118.125,00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K100007</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Kapitalni projekt: Postava led rasvjete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24.375,00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97,99%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24.375,00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97,99%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4.1. Prihodi po posebnim </w:t>
            </w:r>
            <w:proofErr w:type="spellStart"/>
            <w:r w:rsidRPr="003D2346">
              <w:rPr>
                <w:rFonts w:ascii="Arial" w:eastAsia="Times New Roman" w:hAnsi="Arial" w:cs="Arial"/>
                <w:b/>
                <w:bCs/>
                <w:color w:val="333333"/>
                <w:sz w:val="16"/>
                <w:szCs w:val="16"/>
                <w:lang w:val="hr-HR" w:eastAsia="hr-HR"/>
              </w:rPr>
              <w:t>proisima</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24.375,00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97,99%</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24.375,00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97,99%</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24.375,00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ODRŽAVANJE KOMUNALNE INFRASTRUKTURE</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7.069.585,00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5.441.625,00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4.188.657,20</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76,97%</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Održavanje sustava odvodnje atmosferskih voda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Čišćenje javnih površina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1.852.100,00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1.484.000,00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1.453.372,98</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97,94%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1.852.100,00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1.484.000,00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1.453.372,98</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97,94%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1.502.100,00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1.252.000,00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1.221.762,93</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97,58%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1.502.100,00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1.167.000,00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969.865,52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83,11%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Komunalne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949.615,52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3236</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Zdravstvene i veterinarske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20.250,00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251.897,41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296,35%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3295</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Pristojbe i naknade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251.897,41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4.3.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232.000,00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231.610,05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99,83%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231.610,05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99,83%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Komunalne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231.610,05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A100003</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Održavanje javnih i zelenih površina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919.985,00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353.500,00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66.776,18</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18,89%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671.235,00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104.750,00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66.776,18</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63,75%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4.1. Prihodi po posebnim </w:t>
            </w:r>
            <w:proofErr w:type="spellStart"/>
            <w:r w:rsidRPr="003D2346">
              <w:rPr>
                <w:rFonts w:ascii="Arial" w:eastAsia="Times New Roman" w:hAnsi="Arial" w:cs="Arial"/>
                <w:b/>
                <w:bCs/>
                <w:color w:val="333333"/>
                <w:sz w:val="16"/>
                <w:szCs w:val="16"/>
                <w:lang w:val="hr-HR" w:eastAsia="hr-HR"/>
              </w:rPr>
              <w:t>proisima</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496.125,00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104.750,00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66.776,18</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63,75%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496.125,00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104.750,00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66.776,18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63,75%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66.776,18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175.110,00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175.110,00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8. NAMJENSKI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8.2. Ostale naknade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A100004</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Održavanje nerazvrstanih cesta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1.362.125,00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439.750,00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13.700,00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1.292.225,00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439.750,00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13.700,00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3,12%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1.292.225,00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439.750,00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13.700,00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3,12%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1.292.225,00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439.750,00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13.700,00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69.900,00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5.1. Tekuće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69.900,00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69.900,00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A100005</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Održavanje groblja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237.125,00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68.166,66</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80,20%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237.125,00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68.166,66</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80,20%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52.000,00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51.958,32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99,92%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51.958,32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99,92%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51.958,32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4.4. Prihodi od upravljanja grobljem</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137.125,00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16.208,34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49,12%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137.125,00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16.208,34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49,12%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13.258,68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Komunalne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2.949,66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A100006</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Održavanje javne rasvjete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2.087.375,00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2.720.000,00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2.356.299,37</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86,63%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2.720.000,00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2.356.299,37</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86,63%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2.700.000,00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2.337.399,37</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86,57%</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1.730.913,16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101,82%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Energija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1.730.913,16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606.486,21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60,65%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606.486,21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4.3.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18.900,00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94,50%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18.900,00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94,50%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dijelovi za tekuće i investicijsko održavanje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18.900,00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projekt: Održavanje pomorskog dobra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523.500,00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272.000,00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230.342,01</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84,68%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272.000,00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230.342,01</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84,68%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4.1. Prihodi po posebnim </w:t>
            </w:r>
            <w:proofErr w:type="spellStart"/>
            <w:r w:rsidRPr="003D2346">
              <w:rPr>
                <w:rFonts w:ascii="Arial" w:eastAsia="Times New Roman" w:hAnsi="Arial" w:cs="Arial"/>
                <w:b/>
                <w:bCs/>
                <w:color w:val="333333"/>
                <w:sz w:val="16"/>
                <w:szCs w:val="16"/>
                <w:lang w:val="hr-HR" w:eastAsia="hr-HR"/>
              </w:rPr>
              <w:t>proisima</w:t>
            </w:r>
            <w:proofErr w:type="spellEnd"/>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172.000,00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171.062,50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99,45%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171.062,50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99,45%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171.062,50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59.279,51</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59,28%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59.279,51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59,28%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59.279,51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336.125,00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5.1. Tekuće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336.125,00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336.125,00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NEPOKRETNA IMOVINA</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1.445.875,00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266.902,10</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80,88%</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Održavanje nepokretne imovine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858.500,00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216.902,10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77,47%</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24.302,10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81,01%</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24.302,10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81,01%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24.302,10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81,01%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24.302,10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771.125,00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192.600,00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77,04%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771.125,00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192.600,00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77,04%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771.125,00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192.600,00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77,04%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190.000,00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2.600,00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Ulaganje u nepokretnu imovinu</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587.375,00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50.000,00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Poslovni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OPREMA</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1.000.850,00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510.000,00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371.406,07</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72,82%</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Održavanje opreme i pokretne imovine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352.375,00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222.662,32</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85,64%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352.375,00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222.662,32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85,64%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352.375,00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222.662,32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85,64%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67.498,19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84,37%</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3225</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Sitni inventar i auto gume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67.498,19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173.000,00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148.323,99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85,74%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148.323,99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6.840,14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97,72%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Premije osiguranja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6.840,14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Ulaganje u opremu i pokretnu imovinu</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648.475,00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148.743,75</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59,50%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648.475,00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148.743,75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59,50%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648.475,00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148.743,75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59,50%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naravi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Postrojenja i oprema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503.600,00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99.993,75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62,50%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Uredska oprema i namještaj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15.760,00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Komunikacijska oprema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4227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Uređaji, strojevi i oprema za ostale namjene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84.233,75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Prijevozna sredstva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4231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Prijevozna sredstva u cestovnom prometu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426</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Nematerijalna proizvedena imovina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48.750,00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60,94%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4262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Ulaganja u računalne programe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48.750,00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PROTUPOŽARNA ZAŠTITA</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1.636.125,00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1.442.682,77</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96,18%</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Operativni program protupožarne zaštite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1.387.375,00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1.442.682,77</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96,18%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1.442.682,77</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96,18%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1.442.682,77</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96,18%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1.442.682,77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96,18%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1.442.682,77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5.1. Tekuće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Ulaganje u protupožarnu zaštitu</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Poslovni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1002</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CIVILNA ZAŠTITA</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244.625,00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10.530,50</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75,22%</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Razvoj civilne zaštite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69.750,00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Postrojenja i oprema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Oprema za održavanje i zaštitu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Javni red i sigurnost</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174.875,00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10.530,50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75,22%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10.530,50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75,22%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10.530,50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75,22%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8.950,50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74,59%</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8.950,50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Kapitalne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1.580,00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79,00%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Kapitalne donacije neprofitnim organizacijama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1.580,00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1003</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PRIJATELJI ŽIVOTINJA</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74.875,00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Briga o životinjama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74.875,00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GOSPODARSTVO I RAZVOJ ZAJEDNICE</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3.654.610,00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2.504.250,00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1.976.931,06</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78,94%</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Gospodarstvo i razvoj zajednice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435.000,00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324.625,00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73.149,21</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22,53%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186.250,00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75.875,00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73.149,21</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96,41%</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186.250,00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75.875,00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73.149,21</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96,41%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98.875,00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75.875,00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73.149,21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96,41%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telefona, pošte i prijevoza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40.327,33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8.446,88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24.375,00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Ulaganje u javni prijevoz</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1.600.000,00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1.815.000,00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1.642.500,60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90,50%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1.642.500,60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90,50%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1.642.500,60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90,50%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Subvencije trgovačkim društvima u javnom sektoru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1.478.734,08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89,62%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3512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Subvencije trgovačkim društvima u javnom sektoru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1.478.734,08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386</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Kapitalne pomoći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163.766,52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99,25%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3861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Kapitalne pomoći kreditnim i ostalim financijskim institucijama te trgovačkim društvima u javnom </w:t>
            </w:r>
            <w:proofErr w:type="spellStart"/>
            <w:r w:rsidRPr="003D2346">
              <w:rPr>
                <w:rFonts w:ascii="Arial" w:eastAsia="Times New Roman" w:hAnsi="Arial" w:cs="Arial"/>
                <w:sz w:val="16"/>
                <w:szCs w:val="16"/>
                <w:lang w:val="hr-HR" w:eastAsia="hr-HR"/>
              </w:rPr>
              <w:t>sek</w:t>
            </w:r>
            <w:proofErr w:type="spellEnd"/>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163.766,52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A100003</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Čista zajednica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423.500,00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189.375,00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163.781,25</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86,49%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423.500,00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189.375,00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163.781,25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86,49%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423.500,00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189.375,00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163.781,25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86,49%</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promidžbe i informiranja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Postrojenja i oprema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336.125,00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163.781,25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99,26%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4227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Uređaji, strojevi i oprema za ostale namjene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163.781,25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A100004</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Aktivnost: Izrada prostorno-planske </w:t>
            </w:r>
            <w:proofErr w:type="spellStart"/>
            <w:r w:rsidRPr="003D2346">
              <w:rPr>
                <w:rFonts w:ascii="Arial" w:eastAsia="Times New Roman" w:hAnsi="Arial" w:cs="Arial"/>
                <w:b/>
                <w:bCs/>
                <w:sz w:val="16"/>
                <w:szCs w:val="16"/>
                <w:lang w:val="hr-HR" w:eastAsia="hr-HR"/>
              </w:rPr>
              <w:t>dokumnetacije</w:t>
            </w:r>
            <w:proofErr w:type="spellEnd"/>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947.360,00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175.250,00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97.500,00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55,63%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947.360,00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175.250,00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97.500,00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55,63%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947.360,00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175.250,00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97.500,00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55,63%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Nematerijalna imovina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947.360,00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175.250,00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97.500,00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55,63%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4126</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Ostala nematerijalna imovina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97.500,00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A100005</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Izgradnja upravne zgrade s kulturnim centrom</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1002</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OBRAZOVANJE</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1.522.250,00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700.000,00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609.647,86</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87,09%</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Ulaganje u obrazovanje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174.750,00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36.252,03</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80,56%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36.252,03</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80,56%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36.252,03</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80,56%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36.252,03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80,56%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36.252,03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87.375,00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Kapitalne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87.375,00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Kapitalne donacije neprofitnim organizacijama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Potpore učenicima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798.750,00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468.000,00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387.145,83</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82,72%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798.750,00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468.000,00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387.145,83</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82,72%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798.750,00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468.000,00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387.145,83</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82,72%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Subvencije trgovačkim društvima u javnom sektoru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3512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Subvencije trgovačkim društvima u javnom sektoru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Ostale naknade građanima i kućanstvima iz proračuna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160.000,00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69,57%</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građanima i kućanstvima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160.000,00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238.000,00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227.145,83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95,44%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227.145,83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A100003</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Aktivnost: Izgradnja školskog igrališta u </w:t>
            </w:r>
            <w:proofErr w:type="spellStart"/>
            <w:r w:rsidRPr="003D2346">
              <w:rPr>
                <w:rFonts w:ascii="Arial" w:eastAsia="Times New Roman" w:hAnsi="Arial" w:cs="Arial"/>
                <w:b/>
                <w:bCs/>
                <w:sz w:val="16"/>
                <w:szCs w:val="16"/>
                <w:lang w:val="hr-HR" w:eastAsia="hr-HR"/>
              </w:rPr>
              <w:t>Prapatnici</w:t>
            </w:r>
            <w:proofErr w:type="spellEnd"/>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5.2. Kapitalne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248.750,00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građevinski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Kapitalni projekt: Dogradnja OŠ Kralja Zvonimira u SD s izgradnjom športske dvorane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187.000,00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186.250,00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99,60%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187.000,00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186.250,00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99,60%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5.2. Kapitalne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187.000,00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186.250,00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99,60%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187.000,00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186.250,00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99,60%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Poslovni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186.250,00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GLAZBENO SCENSKA DJELATNOST</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334.750,00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Glazbeno scenska djelatnost</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334.750,00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334.750,00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4.3.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334.750,00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334.750,00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1002</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OČUVANJE SAKRALNE KULTURE</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1.150.000,00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28.745,00</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41,06%</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Očuvanje sakralne kulture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1.150.000,00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28.745,00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41,06%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28.745,00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41,06%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28.745,00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41,06%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28.745,00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41,06%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28.745,00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Kapitalne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Kapitalne donacije neprofitnim organizacijama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Kapitalne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Kapitalne donacije neprofitnim organizacijama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1003</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ŠPORT I REKREACIJA</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Šport i rekreacija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SOCIJALNE POMOĆI</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1.344.875,00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1.420.709,00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1.284.892,66</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90,44%</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Aktivnost: Sufinanciranje obveznog programa </w:t>
            </w:r>
            <w:proofErr w:type="spellStart"/>
            <w:r w:rsidRPr="003D2346">
              <w:rPr>
                <w:rFonts w:ascii="Arial" w:eastAsia="Times New Roman" w:hAnsi="Arial" w:cs="Arial"/>
                <w:b/>
                <w:bCs/>
                <w:sz w:val="16"/>
                <w:szCs w:val="16"/>
                <w:lang w:val="hr-HR" w:eastAsia="hr-HR"/>
              </w:rPr>
              <w:t>predškole</w:t>
            </w:r>
            <w:proofErr w:type="spellEnd"/>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15.500,00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15.120,00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97,55%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15.120,00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97,55%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5.3. Tekuće potpore iz državnog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15.120,00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97,55%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15.120,00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97,55%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15.120,00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Sufinanciranje troškova stanovanja i novčana potpora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440.340,00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91,74%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480.000,00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440.340,00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91,74%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480.000,00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440.340,00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91,74%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Ostale naknade građanima i kućanstvima iz proračuna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480.000,00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440.340,00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91,74%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građanima i kućanstvima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440.340,00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A100003</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Sufinanciranje bolesnih, invalida i socijalnih slučajeva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694.875,00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745.000,00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670.111,20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89,95%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745.000,00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670.111,20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89,95%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745.000,00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670.111,20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89,95%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Ostale naknade građanima i kućanstvima iz proračuna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694.875,00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745.000,00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670.111,20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89,95%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građanima i kućanstvima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299.500,00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građanima i kućanstvima u naravi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370.611,20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A100005</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Potpora obiteljima za novorođenu djecu</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83.000,00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92,22%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83.000,00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92,22%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83.000,00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92,22%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Ostale naknade građanima i kućanstvima iz proračuna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92,22%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građanima i kućanstvima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83.000,00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A100006</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Sufinanciranje troškova ogrijeva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27.300,00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26.250,00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96,15%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Ostale naknade građanima i kućanstvima iz proračuna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građanima i kućanstvima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26.250,00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5.1. Tekuće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26.250,00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26.250,00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Ostale naknade građanima i kućanstvima iz proračuna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26.250,00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26.250,00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građanima i kućanstvima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26.250,00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projekt: Javni radovi</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62.909,00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50.071,46</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79,59%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1.549,00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19,36%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1.549,00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19,36%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Naknade troškova zaposlenima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1.549,00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19,36%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za prijevoz, za rad na terenu i odvojeni život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1.549,00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54.909,00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48.522,46</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88,37%</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5.9. Tekuće pomoći od HZZ-a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54.909,00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48.522,46</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88,37%</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Plaće (Bruto)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42.122,00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37.587,12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89,23%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Plaće za redovan rad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37.587,12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Doprinosi na plaće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7.027,00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6.381,34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90,81%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Doprinosi za obvezno zdravstveno osiguranje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6.381,34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Naknade troškova zaposlenima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5.760,00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4.554,00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79,06%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za prijevoz, za rad na terenu i odvojeni život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4.554,00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1002</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ZDRAVSTVENA ZAŠTITA</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72.901,98</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99,87%</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Zdravstvena zaštita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72.901,98</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99,87%</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73.000,00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72.901,98</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99,87%</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73.000,00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72.901,98</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99,87%</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901,98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90,20%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Premije osiguranja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901,98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72.000,00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1003</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POTPORE GRAĐANIMA, UDRUGAMA, STRANKAMA</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1.575.000,00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1.282.000,00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1.180.100,07</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92,05%</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Sufinanciranje branitelja,obitelji poginulih, udruga i spomen obilježja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125.000,00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114.420,54</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91,54%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114.420,54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91,54%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114.420,54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91,54%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Ostale naknade građanima i kućanstvima iz proračuna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7.420,54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49,47%</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građanima i kućanstvima u naravi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7.420,54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107.000,00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97,27%</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107.000,00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A100003</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Sufinanciranje opskrbe pitkom vodom</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899.915,00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99,99%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899.915,00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99,99%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899.915,00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99,99%</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Ostale naknade građanima i kućanstvima iz proračuna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899.915,00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99,99%</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građanima i kućanstvima u naravi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899.915,00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5.1. Tekuće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Ostale naknade građanima i kućanstvima iz proračuna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građanima i kućanstvima u naravi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A100004</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Sufinanciranje na temelju zakona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315.000,00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177.000,00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165.333,28</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93,41%</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165.333,28</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93,41%</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165.333,28</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93,41%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Tekuće donacije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177.000,00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165.333,28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93,41%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Tekuće donacije u novcu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165.333,28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A100005</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Potpore za elementarnu nepogodu</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431,25</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0,54%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431,25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0,86%</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5.1. Tekuće potpore iz županijskog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431,25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431,25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431,25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5.3. Tekuće potpore iz državnog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Kazne, penali i naknade štete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3831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šteta pravnim i fizičkim osobama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POSLOVNE FINANCIJE</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128.000,00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27.741,54</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21,67%</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Financije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128.000,00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27.741,54</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21,67%</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128.000,00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27.741,54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21,67%</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128.000,00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27.741,54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21,67%</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financijski rashodi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27.741,54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53,35%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3431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Bankarske usluge i usluge platnog prometa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23.128,85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3433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Zatezne kamate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4.612,69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385</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Izvanredni rashodi</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3851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Nepredviđeni rashodi do visine proračunske pričuve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GLAVA 00102 DJEČJI VRTIĆ</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6.555.958,00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4.268.386,07</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3.873.735,19</w:t>
            </w:r>
          </w:p>
        </w:tc>
        <w:tc>
          <w:tcPr>
            <w:tcW w:w="848"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90,75%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2.064.585,00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2.144.985,00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1.852.678,39</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86,37%</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2.064.085,00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2.144.485,00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1.852.678,39</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86,39%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1.2. Prihod od financijske imovine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3. Vlastiti prihodi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468.340,94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86,73%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3.3. Prihodi od roditelja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468.340,94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86,73%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116.119,51</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89,32%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116.119,51</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89,32%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2.915.000,00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855.965,55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99,53%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5.3. Tekuće potpore iz državnog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3.551,50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23,68%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5.8. Pomoći iz EU državnih fondova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2.900.000,00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845.000,00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852.414,05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100,88%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694.000,00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582.000,00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571.255,80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98,15%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694.000,00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582.000,00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571.255,80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98,15%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8. NAMJENSKI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127.373,00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11.401,07</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9.375,00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82,23%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8.1. Višak prihoda iz preneseni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127.373,00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11.401,07</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9.375,00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82,23%</w:t>
            </w:r>
          </w:p>
        </w:tc>
      </w:tr>
      <w:tr w:rsidR="003D2346" w:rsidRPr="003D2346" w:rsidTr="008D5134">
        <w:trPr>
          <w:trHeight w:val="264"/>
        </w:trPr>
        <w:tc>
          <w:tcPr>
            <w:tcW w:w="425" w:type="dxa"/>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PROR. KORISNIK 43247 Dječji vrtić Tratinčica</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6.555.958,00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4.268.386,07</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3.873.735,19</w:t>
            </w:r>
          </w:p>
        </w:tc>
        <w:tc>
          <w:tcPr>
            <w:tcW w:w="848"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90,75%</w:t>
            </w: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PREDŠKOLSKI ODGOJ</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6.555.958,00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4.268.386,07</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3.873.735,19</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90,75%</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Redovni program predškolskog odgoja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2.044.085,00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2.126.485,00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1.834.761,72</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86,28%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2.044.085,00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2.126.485,00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1.834.761,72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86,28%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2.044.085,00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2.126.485,00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1.834.761,72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86,28%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Plaće (Bruto)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1.377.600,00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1.277.681,09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91,26%</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Plaće za redovan rad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1.277.681,09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rashodi za zaposlene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201.620,00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96,01%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rashodi za zaposlene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201.620,00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Doprinosi na plaće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243.360,00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243.360,00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210.817,39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86,63%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Doprinosi za obvezno zdravstveno osiguranje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210.817,39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Naknade troškova zaposlenima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115.300,00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125.300,00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79.680,00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63,59%</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Službena putovanja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502,00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za prijevoz, za rad na terenu i odvojeni život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79.178,00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sirovine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127.825,00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97.825,00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64.963,24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66,41%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za rad predstavničkih i izvršnih tijela, povjerenstava i slično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62.984,76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Premije osiguranja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1.978,48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Mala škola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17.916,67</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99,54%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17.916,67</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99,54%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18.000,00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17.916,67</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99,54%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17.916,67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99,54%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17.916,67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Kapitalni projekt: Kapitalno ulaganje u novi vrtić</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3.809.000,00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1.557.000,00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1.539.789,36</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98,89%</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PRIHODI ZA POSEBNE NAMJENE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116.119,51</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89,32%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4.2. Prihodi po posebnim propisima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130.000,00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116.119,51</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89,32%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116.119,51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89,32%</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Poslovni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116.119,51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2.900.000,00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845.000,00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852.414,05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100,88%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5.8. Pomoći iz EU državnih fondova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2.900.000,00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845.000,00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852.414,05</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100,88%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2.900.000,00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852.414,05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100,88%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Poslovni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852.414,05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 PRIHODI OD PRODAJE ILI ZAMJENE NEFINANCIJSKE IMOVINE TE OSIG</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694.000,00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582.000,00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571.255,80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98,15%</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7.1. Prihodi od pro. zemljišta/drugi prihodi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694.000,00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582.000,00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571.255,80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98,15%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Građevinski objekti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694.000,00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571.255,80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98,15%</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4212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Poslovni objekti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571.255,80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Kapitalni projekt: Kapitalno ulaganje u DV Tratinčica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41.373,00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9.375,00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99,73%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8. NAMJENSKI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41.373,00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9.400,00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9.375,00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99,73%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8.1. Višak prihoda iz preneseni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41.373,00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9.400,00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9.375,00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99,73%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Postrojenja i oprema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Uredska oprema i namještaj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Oprema za održavanje i zaštitu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Knjige, umjetnička djela i ostale izložbene vrijednosti</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1.373,00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4241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Knjige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426</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Nematerijalna proizvedena imovina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9.375,00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99,73%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4262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Ulaganja u računalne programe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9.375,00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Dodatna ulaganja na građevinskim objektima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4511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Dodatna ulaganja na građevinskim objektima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projekt: Funkcioniranje dječjeg vrtića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641.500,00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557.501,07</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471.892,44</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84,64%</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1.2. Prihod od financijske imovine</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financijski rashodi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3431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Bankarske usluge i usluge platnog prometa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3434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nespomenuti financijski rashodi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3. Vlastiti prihodi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468.340,94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86,73%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3.3. Prihodi od roditelja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468.340,94</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86,73%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Naknade troškova zaposlenima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1.625,00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40,63%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Stručno usavršavanje zaposlenika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1.625,00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400.100,00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411.100,00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360.182,72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87,61%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Uredski materijal i ostali materijalni rashodi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79.921,06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sirovine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217.482,86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Energija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55.356,68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dijelovi za tekuće i investicijsko održavanje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2.499,09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3225</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Sitni inventar i auto gume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4.923,03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107.600,00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108.600,00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93.295,63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85,91%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telefona, pošte i prijevoza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11.482,48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6.512,50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promidžbe i informiranja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Komunalne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20.568,39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3236</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Zdravstvene i veterinarske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5.250,00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3238</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Računalne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30.235,00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19.247,26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8.200,00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7.615,63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92,87%</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Premije osiguranja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4.558,85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Reprezentacija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254,73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2.802,05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financijski rashodi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13.100,00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8.100,00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5.621,96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69,41%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3431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Bankarske usluge i usluge platnog prometa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5.621,96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 POMOĆI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3.551,50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23,68%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5.3. Tekuće potpore iz državnog proračuna</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3.551,50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23,68%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3.551,50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23,68%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sirovine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3.551,50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8. NAMJENSKI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2.001,07</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8.1. Višak prihoda iz preneseni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2.001,07</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Naknade troškova zaposlenima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Stručno usavršavanje zaposlenika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47.000,00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2.001,07</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sirovine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Energija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dijelovi za tekuće i investicijsko održavanje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3225</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Sitni inventar i auto gume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tekućeg i investicijskog održavanja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3234</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Komunalne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RAZDJEL 002 OPĆINSKO VIJEĆE</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280.000,00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140.446,22</w:t>
            </w:r>
          </w:p>
        </w:tc>
        <w:tc>
          <w:tcPr>
            <w:tcW w:w="848"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70,22%</w:t>
            </w:r>
          </w:p>
        </w:tc>
      </w:tr>
      <w:tr w:rsidR="003D2346" w:rsidRPr="003D2346" w:rsidTr="008D5134">
        <w:trPr>
          <w:trHeight w:val="264"/>
        </w:trPr>
        <w:tc>
          <w:tcPr>
            <w:tcW w:w="425" w:type="dxa"/>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GLAVA 00201 OPĆINSKO VIJEĆE</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280.000,00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140.446,22</w:t>
            </w:r>
          </w:p>
        </w:tc>
        <w:tc>
          <w:tcPr>
            <w:tcW w:w="848"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70,22%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280.000,00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140.446,22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70,22%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280.000,00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140.446,22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70,22%</w:t>
            </w: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1002</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ZAKONODAVNO TIJELO</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140.446,22</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70,22%</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Općinsko vijeće</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116.457,12</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83,18%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220.000,00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116.457,12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83,18%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220.000,00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140.000,00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116.457,12</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83,18%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116.457,12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83,18%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za rad predstavničkih i izvršnih tijela, povjerenstava i slično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116.457,12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Reprezentacija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A100003</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Dan Općine Seget i blagdan Gospe od Ružarija</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23.989,10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39,98%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23.989,10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39,98%</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23.989,10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39,98%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sirovine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23.989,10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47,98%</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promidžbe i informiranja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3237</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Intelektualne i osobne usluge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23.989,10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RAZDJEL 003 OPĆINSKI NAČELNIK</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524.875,00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383.875,00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302.961,96</w:t>
            </w:r>
          </w:p>
        </w:tc>
        <w:tc>
          <w:tcPr>
            <w:tcW w:w="848"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78,92%</w:t>
            </w:r>
          </w:p>
        </w:tc>
      </w:tr>
      <w:tr w:rsidR="003D2346" w:rsidRPr="003D2346" w:rsidTr="008D5134">
        <w:trPr>
          <w:trHeight w:val="264"/>
        </w:trPr>
        <w:tc>
          <w:tcPr>
            <w:tcW w:w="425" w:type="dxa"/>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5245" w:type="dxa"/>
            <w:gridSpan w:val="2"/>
            <w:shd w:val="clear" w:color="000000" w:fill="9999FF"/>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GLAVA 00301 OPĆINSKI NAČELNIK</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524.875,00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383.875,00</w:t>
            </w:r>
          </w:p>
        </w:tc>
        <w:tc>
          <w:tcPr>
            <w:tcW w:w="1240"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302.961,96</w:t>
            </w:r>
          </w:p>
        </w:tc>
        <w:tc>
          <w:tcPr>
            <w:tcW w:w="848" w:type="dxa"/>
            <w:shd w:val="clear" w:color="000000" w:fill="9999FF"/>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78,92%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524.875,00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383.875,00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302.961,96</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78,92%</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524.875,00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383.875,00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302.961,96</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78,92%</w:t>
            </w:r>
          </w:p>
        </w:tc>
      </w:tr>
      <w:tr w:rsidR="003D2346" w:rsidRPr="003D2346" w:rsidTr="008D5134">
        <w:trPr>
          <w:trHeight w:val="264"/>
        </w:trPr>
        <w:tc>
          <w:tcPr>
            <w:tcW w:w="42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1003</w:t>
            </w:r>
          </w:p>
        </w:tc>
        <w:tc>
          <w:tcPr>
            <w:tcW w:w="3570" w:type="dxa"/>
            <w:shd w:val="clear" w:color="000000" w:fill="FF9900"/>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IZVRŠNO TIJELO</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524.875,00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383.875,00</w:t>
            </w:r>
          </w:p>
        </w:tc>
        <w:tc>
          <w:tcPr>
            <w:tcW w:w="1240"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302.961,96</w:t>
            </w:r>
          </w:p>
        </w:tc>
        <w:tc>
          <w:tcPr>
            <w:tcW w:w="848" w:type="dxa"/>
            <w:shd w:val="clear" w:color="000000" w:fill="FF9900"/>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78,92%</w:t>
            </w: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OpćinskI načelnik</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315.000,00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263.674,46</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83,71%</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263.674,46</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83,71%</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450.000,00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315.000,00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263.674,46</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83,71%</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4.125,00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82,50%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sirovine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4.125,00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Ostali nespomenuti rashodi poslovanja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430.000,00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259.549,46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83,73%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3291</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Naknade za rad predstavničkih i izvršnih tijela, povjerenstava i slično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197.081,28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Reprezentacija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62.468,18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T100002</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projekt: Državni blagdani</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64.875,00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62.875,00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36.987,50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58,83%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62.875,00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36.987,50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58,83%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64.875,00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62.875,00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36.987,50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58,83%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36.987,50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97,34%</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sirovine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36.987,50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usluge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24.875,00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3233</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Usluge promidžbe i informiranja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42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675"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T100003</w:t>
            </w:r>
          </w:p>
        </w:tc>
        <w:tc>
          <w:tcPr>
            <w:tcW w:w="3570" w:type="dxa"/>
            <w:shd w:val="clear" w:color="000000" w:fill="FFFF99"/>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projekt: Odavanje pijeteta poginulima u Domovinskom ratu</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6.000,00</w:t>
            </w:r>
          </w:p>
        </w:tc>
        <w:tc>
          <w:tcPr>
            <w:tcW w:w="1240"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2.300,00</w:t>
            </w:r>
          </w:p>
        </w:tc>
        <w:tc>
          <w:tcPr>
            <w:tcW w:w="848" w:type="dxa"/>
            <w:shd w:val="clear" w:color="000000" w:fill="FFFF99"/>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38,33%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38,33%</w:t>
            </w:r>
          </w:p>
        </w:tc>
      </w:tr>
      <w:tr w:rsidR="003D2346" w:rsidRPr="003D2346" w:rsidTr="008D5134">
        <w:trPr>
          <w:trHeight w:val="264"/>
        </w:trPr>
        <w:tc>
          <w:tcPr>
            <w:tcW w:w="425" w:type="dxa"/>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5245" w:type="dxa"/>
            <w:gridSpan w:val="2"/>
            <w:shd w:val="clear" w:color="000000" w:fill="CCCCFF"/>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Opći prihodi i primici</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6.000,00</w:t>
            </w:r>
          </w:p>
        </w:tc>
        <w:tc>
          <w:tcPr>
            <w:tcW w:w="1240"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2.300,00</w:t>
            </w:r>
          </w:p>
        </w:tc>
        <w:tc>
          <w:tcPr>
            <w:tcW w:w="848" w:type="dxa"/>
            <w:shd w:val="clear" w:color="000000" w:fill="CCCCFF"/>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38,33%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Rashodi za materijal i energiju                                                                     </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6.000,00</w:t>
            </w: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38,33%</w:t>
            </w:r>
          </w:p>
        </w:tc>
      </w:tr>
      <w:tr w:rsidR="003D2346" w:rsidRPr="003D2346" w:rsidTr="008D5134">
        <w:trPr>
          <w:trHeight w:val="264"/>
        </w:trPr>
        <w:tc>
          <w:tcPr>
            <w:tcW w:w="425"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675"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57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Materijal i sirovine                                                                                </w:t>
            </w:r>
          </w:p>
        </w:tc>
        <w:tc>
          <w:tcPr>
            <w:tcW w:w="1240" w:type="dxa"/>
            <w:shd w:val="clear" w:color="auto" w:fill="auto"/>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2.300,00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bl>
    <w:p w:rsidR="003D2346" w:rsidRPr="003D2346" w:rsidRDefault="003D2346" w:rsidP="003D2346">
      <w:pPr>
        <w:spacing w:after="160" w:line="259" w:lineRule="auto"/>
        <w:rPr>
          <w:rFonts w:ascii="Times New Roman" w:eastAsia="Calibri" w:hAnsi="Times New Roman" w:cs="Times New Roman"/>
          <w:b/>
          <w:sz w:val="24"/>
          <w:szCs w:val="24"/>
          <w:lang w:val="hr-HR"/>
        </w:rPr>
      </w:pPr>
    </w:p>
    <w:p w:rsidR="003D2346" w:rsidRPr="003D2346" w:rsidRDefault="003D2346" w:rsidP="003D2346">
      <w:pPr>
        <w:spacing w:after="160" w:line="259" w:lineRule="auto"/>
        <w:rPr>
          <w:rFonts w:ascii="Times New Roman" w:eastAsia="Calibri" w:hAnsi="Times New Roman" w:cs="Times New Roman"/>
          <w:b/>
          <w:sz w:val="24"/>
          <w:szCs w:val="24"/>
          <w:lang w:val="hr-HR"/>
        </w:rPr>
      </w:pPr>
    </w:p>
    <w:p w:rsidR="003D2346" w:rsidRPr="003D2346" w:rsidRDefault="003D2346" w:rsidP="003D2346">
      <w:pPr>
        <w:spacing w:after="160" w:line="259" w:lineRule="auto"/>
        <w:rPr>
          <w:rFonts w:ascii="Times New Roman" w:eastAsia="Calibri" w:hAnsi="Times New Roman" w:cs="Times New Roman"/>
          <w:b/>
          <w:sz w:val="24"/>
          <w:szCs w:val="24"/>
          <w:lang w:val="hr-HR"/>
        </w:rPr>
      </w:pPr>
    </w:p>
    <w:p w:rsidR="003D2346" w:rsidRPr="003D2346" w:rsidRDefault="003D2346" w:rsidP="003D2346">
      <w:pPr>
        <w:spacing w:after="160" w:line="259" w:lineRule="auto"/>
        <w:rPr>
          <w:rFonts w:ascii="Times New Roman" w:eastAsia="Calibri" w:hAnsi="Times New Roman" w:cs="Times New Roman"/>
          <w:b/>
          <w:sz w:val="24"/>
          <w:szCs w:val="24"/>
          <w:lang w:val="hr-HR"/>
        </w:rPr>
        <w:sectPr w:rsidR="003D2346" w:rsidRPr="003D2346" w:rsidSect="009E6DBE">
          <w:footerReference w:type="default" r:id="rId7"/>
          <w:pgSz w:w="11906" w:h="16838"/>
          <w:pgMar w:top="568" w:right="1418" w:bottom="426" w:left="851" w:header="709" w:footer="0" w:gutter="0"/>
          <w:cols w:space="708"/>
          <w:docGrid w:linePitch="360"/>
        </w:sectPr>
      </w:pP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32"/>
          <w:szCs w:val="32"/>
          <w:lang w:val="hr-HR"/>
        </w:rPr>
      </w:pPr>
      <w:r w:rsidRPr="003D2346">
        <w:rPr>
          <w:rFonts w:ascii="Cambria" w:eastAsia="Times New Roman" w:hAnsi="Cambria" w:cs="Times New Roman"/>
          <w:color w:val="365F91"/>
          <w:sz w:val="32"/>
          <w:szCs w:val="32"/>
          <w:lang w:val="hr-HR"/>
        </w:rPr>
        <w:t>III. OBRAZLOŽENJE GODIŠNJEG IZVJEŠTAJA O IZVRŠENJU PRORAČUNA</w:t>
      </w:r>
    </w:p>
    <w:p w:rsidR="003D2346" w:rsidRPr="003D2346" w:rsidRDefault="003D2346" w:rsidP="003D2346">
      <w:pPr>
        <w:spacing w:after="0" w:line="240" w:lineRule="auto"/>
        <w:rPr>
          <w:rFonts w:ascii="Times New Roman" w:eastAsia="Calibri" w:hAnsi="Times New Roman" w:cs="Times New Roman"/>
          <w:b/>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Proračun Općine Seget je konsolidirani proračun što znači da su u proračunu planirani proračunski prihodi i rashodi te vlastiti i namjenski prihodi Općine i proračunskog korisnika Općine te rashodi koji se iz njih financiraju. U 2022. godini ukupni konsolidirani prihodi i primici proračuna Općine Seget realizirani su u iznosu od 29.093.479,60 Kn. Navedena realizacija manja je 4.87% od realizacije prethodne godine, a za 3,94% veća je u odnosu na plan prihoda i primitaka za 2022 godinu. Ukupni konsolidirani rashodi i izdaci proračuna Općine Seget realizirani su u iznosu od 20.332.794,32 kn. Navedena realizacije je 39,46% manja od realizacije rashoda 2021 godine, a manja je 22,41% u odnosu na plan rashoda i izdataka 2022. godine. </w:t>
      </w:r>
    </w:p>
    <w:p w:rsidR="003D2346" w:rsidRPr="003D2346" w:rsidRDefault="003D2346" w:rsidP="003D2346">
      <w:pPr>
        <w:spacing w:after="0" w:line="240" w:lineRule="auto"/>
        <w:ind w:firstLine="567"/>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Konsolidirani višak prihoda i primitaka u 2022.godini iznosi 8.760.685,28 Kn, što s prenesenim manjkom iz prethodnih godina u iznosu od 3.284.469,00 Kn daje višak prihoda i primitaka raspoloživ u sljedećem razdoblju u iznosu od 5.476.216,28 Kn.</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Prema financijskim izvještajima koje su Općina i proračunski korisnik sastavili za 2022. godinu, Općina je za izvještajno razdoblje ostvarila višak prihoda u iznosu od 8.669.660,48 Kn, a proračunski korisnik je  ostvario višak prihoda u iznosu od 91.024,80  Kn.</w:t>
      </w:r>
    </w:p>
    <w:p w:rsidR="003D2346" w:rsidRPr="003D2346" w:rsidRDefault="003D2346" w:rsidP="003D2346">
      <w:pPr>
        <w:spacing w:after="0" w:line="240" w:lineRule="auto"/>
        <w:rPr>
          <w:rFonts w:ascii="Times New Roman" w:eastAsia="Calibri" w:hAnsi="Times New Roman" w:cs="Times New Roman"/>
          <w:lang w:val="hr-HR"/>
        </w:rPr>
      </w:pPr>
    </w:p>
    <w:p w:rsidR="003D2346" w:rsidRPr="003D2346" w:rsidRDefault="003D2346" w:rsidP="003D2346">
      <w:pPr>
        <w:spacing w:after="0" w:line="240" w:lineRule="auto"/>
        <w:rPr>
          <w:rFonts w:ascii="Times New Roman" w:eastAsia="Calibri" w:hAnsi="Times New Roman" w:cs="Times New Roman"/>
          <w:lang w:val="hr-HR"/>
        </w:rPr>
      </w:pPr>
    </w:p>
    <w:p w:rsidR="003D2346" w:rsidRPr="003D2346" w:rsidRDefault="003D2346" w:rsidP="003D2346">
      <w:pPr>
        <w:keepNext/>
        <w:spacing w:after="0" w:line="240" w:lineRule="auto"/>
        <w:outlineLvl w:val="1"/>
        <w:rPr>
          <w:rFonts w:ascii="Times New Roman" w:eastAsia="Times New Roman" w:hAnsi="Times New Roman" w:cs="Times New Roman"/>
          <w:b/>
          <w:bCs/>
          <w:sz w:val="24"/>
          <w:szCs w:val="24"/>
          <w:lang w:val="hr-HR"/>
        </w:rPr>
      </w:pPr>
      <w:r w:rsidRPr="003D2346">
        <w:rPr>
          <w:rFonts w:ascii="Times New Roman" w:eastAsia="Times New Roman" w:hAnsi="Times New Roman" w:cs="Times New Roman"/>
          <w:b/>
          <w:bCs/>
          <w:sz w:val="24"/>
          <w:szCs w:val="24"/>
          <w:lang w:val="hr-HR"/>
        </w:rPr>
        <w:t>1) PRIHODI I PRIMICI</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Planirani prihodi i primici konsolidiranog Proračuna Općine Seget za 2022. godinu koji iznose 29.409.130,00 Kn, ostvareni su u iznosu od 29.093.479,60 odnosno 98,92% od godišnjeg plana jer se planirani primici od zaduživanja u iznosu od 1.500.000,00 Kn nisu realizirali tijekom 2022 godine odnosno dinamika je isplate je prenesena u 2023 godinu. Izvršenje proračuna za 2022 godinu u odnosu na izvršenje proračuna za prethodnu 2021 godinu je 95,13%.</w:t>
      </w:r>
    </w:p>
    <w:p w:rsidR="003D2346" w:rsidRPr="003D2346" w:rsidRDefault="003D2346" w:rsidP="003D2346">
      <w:pPr>
        <w:autoSpaceDE w:val="0"/>
        <w:autoSpaceDN w:val="0"/>
        <w:adjustRightInd w:val="0"/>
        <w:spacing w:after="0" w:line="240" w:lineRule="auto"/>
        <w:jc w:val="both"/>
        <w:rPr>
          <w:rFonts w:ascii="Times New Roman" w:eastAsia="Times New Roman" w:hAnsi="Times New Roman" w:cs="Times New Roman"/>
          <w:color w:val="000000"/>
          <w:sz w:val="24"/>
          <w:szCs w:val="24"/>
          <w:lang w:val="hr-HR" w:eastAsia="hr-HR"/>
        </w:rPr>
      </w:pPr>
      <w:r w:rsidRPr="003D2346">
        <w:rPr>
          <w:rFonts w:ascii="Times New Roman" w:eastAsia="Times New Roman" w:hAnsi="Times New Roman" w:cs="Times New Roman"/>
          <w:color w:val="000000"/>
          <w:sz w:val="24"/>
          <w:szCs w:val="24"/>
          <w:lang w:val="hr-HR" w:eastAsia="hr-HR"/>
        </w:rPr>
        <w:t>U tablici broj 2. daje se pregled ostvarenih prihoda i primitaka Proračuna Općine Seget u  2022. godini u usporedbi s planom i s usporednim pokazateljima ostvarenja prihoda i primitaka u 2021.godini.</w:t>
      </w:r>
    </w:p>
    <w:p w:rsidR="003D2346" w:rsidRPr="003D2346" w:rsidRDefault="003D2346" w:rsidP="003D2346">
      <w:pPr>
        <w:autoSpaceDE w:val="0"/>
        <w:autoSpaceDN w:val="0"/>
        <w:adjustRightInd w:val="0"/>
        <w:spacing w:after="0" w:line="240" w:lineRule="auto"/>
        <w:rPr>
          <w:rFonts w:ascii="Times New Roman" w:eastAsia="Times New Roman" w:hAnsi="Times New Roman" w:cs="Times New Roman"/>
          <w:color w:val="000000"/>
          <w:lang w:val="hr-HR" w:eastAsia="hr-HR"/>
        </w:rPr>
      </w:pPr>
    </w:p>
    <w:p w:rsidR="003D2346" w:rsidRPr="003D2346" w:rsidRDefault="003D2346" w:rsidP="003D2346">
      <w:pPr>
        <w:spacing w:after="160" w:line="259" w:lineRule="auto"/>
        <w:rPr>
          <w:rFonts w:ascii="Times New Roman" w:eastAsia="Times New Roman" w:hAnsi="Times New Roman" w:cs="Times New Roman"/>
          <w:color w:val="000000"/>
          <w:sz w:val="24"/>
          <w:szCs w:val="24"/>
          <w:lang w:val="hr-HR" w:eastAsia="hr-HR"/>
        </w:rPr>
      </w:pPr>
      <w:r w:rsidRPr="003D2346">
        <w:rPr>
          <w:rFonts w:ascii="Times New Roman" w:eastAsia="Times New Roman" w:hAnsi="Times New Roman" w:cs="Times New Roman"/>
          <w:color w:val="000000"/>
          <w:sz w:val="24"/>
          <w:szCs w:val="24"/>
          <w:lang w:val="hr-HR" w:eastAsia="hr-HR"/>
        </w:rPr>
        <w:t>Tablica 1. Ostvareni prihodi i primici konsolidiranog Proračuna Općine Seget u 2022. godini</w:t>
      </w:r>
    </w:p>
    <w:p w:rsidR="003D2346" w:rsidRPr="003D2346" w:rsidRDefault="003D2346" w:rsidP="003D2346">
      <w:pPr>
        <w:spacing w:after="160" w:line="259" w:lineRule="auto"/>
        <w:rPr>
          <w:rFonts w:ascii="Calibri" w:eastAsia="Calibri" w:hAnsi="Calibri" w:cs="Times New Roman"/>
          <w:lang w:val="hr-HR"/>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240"/>
        <w:gridCol w:w="1240"/>
        <w:gridCol w:w="1240"/>
        <w:gridCol w:w="1240"/>
        <w:gridCol w:w="852"/>
        <w:gridCol w:w="992"/>
      </w:tblGrid>
      <w:tr w:rsidR="003D2346" w:rsidRPr="003D2346" w:rsidTr="008D5134">
        <w:trPr>
          <w:trHeight w:val="264"/>
        </w:trPr>
        <w:tc>
          <w:tcPr>
            <w:tcW w:w="3544"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Račun / opis</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2021.</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plan 2022.</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852"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4/1</w:t>
            </w:r>
          </w:p>
        </w:tc>
        <w:tc>
          <w:tcPr>
            <w:tcW w:w="992"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4/3</w:t>
            </w:r>
          </w:p>
        </w:tc>
      </w:tr>
      <w:tr w:rsidR="003D2346" w:rsidRPr="003D2346" w:rsidTr="008D5134">
        <w:trPr>
          <w:trHeight w:val="264"/>
        </w:trPr>
        <w:tc>
          <w:tcPr>
            <w:tcW w:w="3544" w:type="dxa"/>
            <w:shd w:val="clear" w:color="000000" w:fill="808080"/>
            <w:noWrap/>
            <w:vAlign w:val="bottom"/>
            <w:hideMark/>
          </w:tcPr>
          <w:p w:rsidR="003D2346" w:rsidRPr="003D2346" w:rsidRDefault="003D2346" w:rsidP="003D2346">
            <w:pPr>
              <w:tabs>
                <w:tab w:val="left" w:pos="1021"/>
              </w:tabs>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A. RAČUN PRIHODA I RASHODA</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1</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3</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4</w:t>
            </w:r>
          </w:p>
        </w:tc>
        <w:tc>
          <w:tcPr>
            <w:tcW w:w="852"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5</w:t>
            </w:r>
          </w:p>
        </w:tc>
        <w:tc>
          <w:tcPr>
            <w:tcW w:w="992"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6</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 Prihodi poslovanja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29.797.725,27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40.162.731,00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27.670.130,00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28.746.479,60</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96,47%</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103,89%</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61 Prihodi od poreza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10.602.257,24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9.130.721,00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12.200.721,00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12.449.392,65</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117,42%</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102,04%</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611 Porez i prirez na dohodak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6.557.460,28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7.900.000,00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7.899.739,95</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120,47%</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6111 Porez i prirez na dohodak od nesamostalnog rada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6.557.460,28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7.899.739,95</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120,47%</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613 Porezi na imovinu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3.747.016,63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2.430.721,00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3.910.721,00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4.157.091,80</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110,94%</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106,30%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6131 Stalni porezi na nepokretnu imovinu (zemlju, zgrade, kuće i ostalo)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187.455,13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208.467,91</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111,21%</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6134 Povremeni porezi na imovinu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3.559.561,50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3.948.623,89</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110,93%</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614 Porezi na robu i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297.780,33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390.000,00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392.560,90</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131,83%</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100,66%</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6143 Posebni porezi i trošarine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297.780,33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392.560,90</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131,83%</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 Pomoći iz inozemstva i od subjekata unutar općeg proračuna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4.416.746,85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7.263.275,00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2.406.409,00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2.605.383,26</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58,99%</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108,27%</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633 Pomoći proračunu iz drugih proračuna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846.559,85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2.567.025,00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905.500,00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1.104.547,38</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130,47%</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121,98%</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6331 Tekuće pomoći proračunu iz drugih proračuna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653.872,35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904.547,38</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138,34%</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6332 Kapitalne pomoći proračunu iz drugih proračuna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192.687,50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200.000,00</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103,80%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634 Pomoći od izvanproračunskih korisnika</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1.086.250,00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54.909,00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54.908,46</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6341 Tekuće pomoći od izvanproračunskih korisnika</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54.908,46</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638 Pomoći iz državnog proračuna temeljem prijenosa EU sredstava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3.570.187,00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3.610.000,00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1.446.000,00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1.445.927,42</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40,50%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99,99%</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6382 Kapitalne pomoći iz državnog proračuna temeljem prijenosa EU sredstava</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3.570.187,00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1.445.927,42</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40,50%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64 Prihodi od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2.735.609,06</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4.262.825,00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3.063.500,00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2.848.997,72</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104,14%</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641 Prihodi od 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7.245,34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16.297,36</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224,94%</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32,27%</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6414 Prihodi od zateznih kamata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7.245,34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16.296,99</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224,93%</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6419 Ostali prihodi od 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0,37</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642 Prihodi od nefinancijske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2.728.363,72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4.062.325,00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3.013.000,00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2.832.700,36</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103,82%</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94,02%</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6421 Naknade za koncesije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1.379.826,39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1.596.927,53</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115,73%</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6422 Prihodi od zakupa i iznajmljivanja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204.265,60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178.562,20</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87,42%</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6423 Naknada za korištenje nefinancijske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1.144.271,73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1.057.210,63</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92,39%</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65 Prihodi od upravnih i administrativnih pristojbi, pristojbi po posebnim propisima i naknada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12.043.112,12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19.490.910,00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9.984.500,00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10.832.385,99</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89,95%</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108,49%</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651 Upravne i administrativne pristojbe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731.578,65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1.528.375,00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1.031.000,00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1.048.458,61</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143,31%</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101,69%</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6512 Županijske, gradske i općinske pristojbe i naknade</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1.775,74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604,24</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34,03%</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6514 Ostale pristojbe i naknade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729.802,91</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1.047.854,37</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143,58%</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652 Prihodi po posebnim propisima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558.549,00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1.478.625,00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853.500,00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747.567,01</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133,84%</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87,59%</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6522 Prihodi vodnog gospodarstva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42.068,92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87.062,16</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206,95%</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6526 Ostali nespomenuti prihodi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516.480,08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660.504,85</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127,89%</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653 Komunalni doprinosi i naknade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10.752.984,47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16.483.910,00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8.100.000,00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9.036.360,37</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84,04%</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111,56%</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6531 Komunalni doprinosi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6.226.307,75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3.924.467,66</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63,03%</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6532 Komunalne naknade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4.526.676,72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5.111.892,71</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112,93%</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68 Kazne, upravne mjere i ostali prihodi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10.319,98</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68,80%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683 Ostali prihodi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10.319,98</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68,80%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6831 Ostali prihodi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10.319,98</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7 Prihodi od prodaje nefinancijske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8.547.500,00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347.000,00</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44,20%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108,44%</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71 Prihodi od prodaje </w:t>
            </w:r>
            <w:proofErr w:type="spellStart"/>
            <w:r w:rsidRPr="003D2346">
              <w:rPr>
                <w:rFonts w:ascii="Arial" w:eastAsia="Times New Roman" w:hAnsi="Arial" w:cs="Arial"/>
                <w:b/>
                <w:bCs/>
                <w:sz w:val="16"/>
                <w:szCs w:val="16"/>
                <w:lang w:val="hr-HR" w:eastAsia="hr-HR"/>
              </w:rPr>
              <w:t>neproizvedene</w:t>
            </w:r>
            <w:proofErr w:type="spellEnd"/>
            <w:r w:rsidRPr="003D2346">
              <w:rPr>
                <w:rFonts w:ascii="Arial" w:eastAsia="Times New Roman" w:hAnsi="Arial" w:cs="Arial"/>
                <w:b/>
                <w:bCs/>
                <w:sz w:val="16"/>
                <w:szCs w:val="16"/>
                <w:lang w:val="hr-HR" w:eastAsia="hr-HR"/>
              </w:rPr>
              <w:t xml:space="preserve"> dugotrajne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6.553.750,00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711 Prihodi od prodaje materijalne imovine - prirodnih bogatstava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6.553.750,00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72 Prihodi od prodaje proizvedene dugotrajne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1.993.750,00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347.000,00</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44,20%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108,44%</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721 Prihodi od prodaje građevinskih objekata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785.000,00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1.993.750,00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347.000,00</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44,20%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108,44%</w:t>
            </w:r>
          </w:p>
        </w:tc>
      </w:tr>
      <w:tr w:rsidR="003D2346" w:rsidRPr="003D2346" w:rsidTr="008D5134">
        <w:trPr>
          <w:trHeight w:val="264"/>
        </w:trPr>
        <w:tc>
          <w:tcPr>
            <w:tcW w:w="3544"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7214 Ostali građevinski objekti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785.000,00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347.000,00</w:t>
            </w:r>
          </w:p>
        </w:tc>
        <w:tc>
          <w:tcPr>
            <w:tcW w:w="85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44,20%</w:t>
            </w:r>
          </w:p>
        </w:tc>
        <w:tc>
          <w:tcPr>
            <w:tcW w:w="992"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bl>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spacing w:after="16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Iz tablice je vidljivo da su ukupni prihodi i primici proračuna za 2022.godinu planirani u iznosu od 29.409.130,00 Kn, ostvareni su u iznosu </w:t>
      </w:r>
      <w:r w:rsidRPr="003D2346">
        <w:rPr>
          <w:rFonts w:ascii="Times New Roman" w:eastAsia="Times New Roman" w:hAnsi="Times New Roman" w:cs="Times New Roman"/>
          <w:sz w:val="24"/>
          <w:szCs w:val="24"/>
          <w:lang w:val="hr-HR" w:eastAsia="hr-HR"/>
        </w:rPr>
        <w:t>29.093.479,60 Kn</w:t>
      </w:r>
      <w:r w:rsidRPr="003D2346">
        <w:rPr>
          <w:rFonts w:ascii="Times New Roman" w:eastAsia="Calibri" w:hAnsi="Times New Roman" w:cs="Times New Roman"/>
          <w:sz w:val="24"/>
          <w:szCs w:val="24"/>
          <w:lang w:val="hr-HR"/>
        </w:rPr>
        <w:t xml:space="preserve"> ili 98,92% godišnjeg plana. U odnosu na isto razdoblje prethodne godine manji su za 1,08%.</w:t>
      </w:r>
    </w:p>
    <w:p w:rsidR="003D2346" w:rsidRPr="003D2346" w:rsidRDefault="003D2346" w:rsidP="003D2346">
      <w:pPr>
        <w:spacing w:after="16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Na manje ostvarenje prihoda u 2022. godini u odnosu na isto razdoblje prethodne godine utjecali su manji prihodi od poslovanja i manji prihodi od prodaje nefinancijske imovine,  premda je istovremeno prisutno povećanje prihoda od poreza na dohodak i poreza na promet nekretnina i prihoda od imovine što je u konačnici neutralizirano manjim prihodom od komunalnog doprinosa. U strukturi ostvarenih prihoda i primitaka najveći udjel imaju prihodi poslovanja s 97,43%.</w:t>
      </w:r>
    </w:p>
    <w:p w:rsidR="003D2346" w:rsidRPr="003D2346" w:rsidRDefault="003D2346" w:rsidP="003D2346">
      <w:pPr>
        <w:spacing w:after="16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Pojedine skupine prihoda u izvještajnom razdoblju veće su u odnosu na isto razdoblje 2021. godine i to: </w:t>
      </w:r>
    </w:p>
    <w:p w:rsidR="003D2346" w:rsidRPr="003D2346" w:rsidRDefault="003D2346" w:rsidP="003D2346">
      <w:pPr>
        <w:numPr>
          <w:ilvl w:val="0"/>
          <w:numId w:val="2"/>
        </w:numPr>
        <w:spacing w:after="160" w:line="240" w:lineRule="auto"/>
        <w:contextualSpacing/>
        <w:jc w:val="both"/>
        <w:rPr>
          <w:rFonts w:ascii="Times New Roman" w:eastAsia="Calibri" w:hAnsi="Times New Roman" w:cs="Times New Roman"/>
          <w:sz w:val="24"/>
          <w:szCs w:val="24"/>
          <w:lang w:val="hr-HR"/>
        </w:rPr>
      </w:pPr>
      <w:r w:rsidRPr="003D2346">
        <w:rPr>
          <w:rFonts w:ascii="Times New Roman" w:eastAsia="Calibri" w:hAnsi="Times New Roman" w:cs="Times New Roman"/>
          <w:b/>
          <w:bCs/>
          <w:sz w:val="24"/>
          <w:szCs w:val="24"/>
          <w:lang w:val="hr-HR"/>
        </w:rPr>
        <w:t>prihodi od poreza</w:t>
      </w:r>
      <w:r w:rsidRPr="003D2346">
        <w:rPr>
          <w:rFonts w:ascii="Times New Roman" w:eastAsia="Calibri" w:hAnsi="Times New Roman" w:cs="Times New Roman"/>
          <w:sz w:val="24"/>
          <w:szCs w:val="24"/>
          <w:lang w:val="hr-HR"/>
        </w:rPr>
        <w:t xml:space="preserve"> su planirani u 2022. godini u iznosu od </w:t>
      </w:r>
      <w:bookmarkStart w:id="0" w:name="_Hlk135828483"/>
      <w:r w:rsidRPr="003D2346">
        <w:rPr>
          <w:rFonts w:ascii="Times New Roman" w:eastAsia="Calibri" w:hAnsi="Times New Roman" w:cs="Times New Roman"/>
          <w:sz w:val="24"/>
          <w:szCs w:val="24"/>
          <w:lang w:val="hr-HR"/>
        </w:rPr>
        <w:t xml:space="preserve">12.200.721,00 kn a realizirani u iznosu od 12.449.392,65 kn što je više za 17,42% u odnosu na realizaciju iz 2021. godine, odnosno 2,04% više od planiranih sredstava za 2022 godinu. </w:t>
      </w:r>
    </w:p>
    <w:bookmarkEnd w:id="0"/>
    <w:p w:rsidR="003D2346" w:rsidRPr="003D2346" w:rsidRDefault="003D2346" w:rsidP="003D2346">
      <w:pPr>
        <w:numPr>
          <w:ilvl w:val="0"/>
          <w:numId w:val="2"/>
        </w:numPr>
        <w:spacing w:after="160" w:line="240" w:lineRule="auto"/>
        <w:contextualSpacing/>
        <w:jc w:val="both"/>
        <w:rPr>
          <w:rFonts w:ascii="Times New Roman" w:eastAsia="Calibri" w:hAnsi="Times New Roman" w:cs="Times New Roman"/>
          <w:sz w:val="24"/>
          <w:szCs w:val="24"/>
          <w:lang w:val="hr-HR"/>
        </w:rPr>
      </w:pPr>
      <w:r w:rsidRPr="003D2346">
        <w:rPr>
          <w:rFonts w:ascii="Times New Roman" w:eastAsia="Calibri" w:hAnsi="Times New Roman" w:cs="Times New Roman"/>
          <w:b/>
          <w:bCs/>
          <w:sz w:val="24"/>
          <w:szCs w:val="24"/>
          <w:lang w:val="hr-HR"/>
        </w:rPr>
        <w:t>prihodi od imovine</w:t>
      </w:r>
      <w:r w:rsidRPr="003D2346">
        <w:rPr>
          <w:rFonts w:ascii="Times New Roman" w:eastAsia="Calibri" w:hAnsi="Times New Roman" w:cs="Times New Roman"/>
          <w:sz w:val="24"/>
          <w:szCs w:val="24"/>
          <w:lang w:val="hr-HR"/>
        </w:rPr>
        <w:t xml:space="preserve"> </w:t>
      </w:r>
      <w:bookmarkStart w:id="1" w:name="_Hlk135827843"/>
      <w:r w:rsidRPr="003D2346">
        <w:rPr>
          <w:rFonts w:ascii="Times New Roman" w:eastAsia="Calibri" w:hAnsi="Times New Roman" w:cs="Times New Roman"/>
          <w:sz w:val="24"/>
          <w:szCs w:val="24"/>
          <w:lang w:val="hr-HR"/>
        </w:rPr>
        <w:t>planirani su u 2022. godinu u iznosu od 3.063.500,00 kn a realizirani u iznosu od 2.848.997,72 kn, odnosno veći su za 4.14% u odnosu na izvršenje za 2021 godinu, odnosno 7% manje u odnosu na plan 2022 godine.</w:t>
      </w:r>
    </w:p>
    <w:bookmarkEnd w:id="1"/>
    <w:p w:rsidR="003D2346" w:rsidRPr="003D2346" w:rsidRDefault="003D2346" w:rsidP="003D2346">
      <w:pPr>
        <w:numPr>
          <w:ilvl w:val="0"/>
          <w:numId w:val="2"/>
        </w:numPr>
        <w:spacing w:after="160" w:line="240" w:lineRule="auto"/>
        <w:contextualSpacing/>
        <w:jc w:val="both"/>
        <w:rPr>
          <w:rFonts w:ascii="Times New Roman" w:eastAsia="Calibri" w:hAnsi="Times New Roman" w:cs="Times New Roman"/>
          <w:sz w:val="24"/>
          <w:szCs w:val="24"/>
          <w:lang w:val="hr-HR"/>
        </w:rPr>
      </w:pPr>
      <w:r w:rsidRPr="003D2346">
        <w:rPr>
          <w:rFonts w:ascii="Times New Roman" w:eastAsia="Calibri" w:hAnsi="Times New Roman" w:cs="Times New Roman"/>
          <w:b/>
          <w:bCs/>
          <w:sz w:val="24"/>
          <w:szCs w:val="24"/>
          <w:lang w:val="hr-HR"/>
        </w:rPr>
        <w:t>prihodi od trošarina</w:t>
      </w:r>
      <w:r w:rsidRPr="003D2346">
        <w:rPr>
          <w:rFonts w:ascii="Times New Roman" w:eastAsia="Calibri" w:hAnsi="Times New Roman" w:cs="Times New Roman"/>
          <w:sz w:val="24"/>
          <w:szCs w:val="24"/>
          <w:lang w:val="hr-HR"/>
        </w:rPr>
        <w:t xml:space="preserve"> planirani su u 2022. godinu u iznosu od 390.000,00 kn a realizirani u iznosu od 392.560,90 kn, odnosno veći su za 31,83% u odnosu na izvršenje za 2021. godinu, odnosno 0,66% viši u odnosu na plan 2022. godine,</w:t>
      </w:r>
    </w:p>
    <w:p w:rsidR="003D2346" w:rsidRPr="003D2346" w:rsidRDefault="003D2346" w:rsidP="003D2346">
      <w:pPr>
        <w:numPr>
          <w:ilvl w:val="0"/>
          <w:numId w:val="2"/>
        </w:numPr>
        <w:spacing w:after="160" w:line="240" w:lineRule="auto"/>
        <w:contextualSpacing/>
        <w:jc w:val="both"/>
        <w:rPr>
          <w:rFonts w:ascii="Times New Roman" w:eastAsia="Calibri" w:hAnsi="Times New Roman" w:cs="Times New Roman"/>
          <w:sz w:val="24"/>
          <w:szCs w:val="24"/>
          <w:lang w:val="hr-HR"/>
        </w:rPr>
      </w:pPr>
      <w:r w:rsidRPr="003D2346">
        <w:rPr>
          <w:rFonts w:ascii="Times New Roman" w:eastAsia="Calibri" w:hAnsi="Times New Roman" w:cs="Times New Roman"/>
          <w:b/>
          <w:bCs/>
          <w:sz w:val="24"/>
          <w:szCs w:val="24"/>
          <w:lang w:val="hr-HR"/>
        </w:rPr>
        <w:t>prihodi od pomoći</w:t>
      </w:r>
      <w:r w:rsidRPr="003D2346">
        <w:rPr>
          <w:rFonts w:ascii="Times New Roman" w:eastAsia="Calibri" w:hAnsi="Times New Roman" w:cs="Times New Roman"/>
          <w:sz w:val="24"/>
          <w:szCs w:val="24"/>
          <w:lang w:val="hr-HR"/>
        </w:rPr>
        <w:t xml:space="preserve"> </w:t>
      </w:r>
      <w:r w:rsidRPr="003D2346">
        <w:rPr>
          <w:rFonts w:ascii="Times New Roman" w:eastAsia="Calibri" w:hAnsi="Times New Roman" w:cs="Times New Roman"/>
          <w:b/>
          <w:bCs/>
          <w:sz w:val="24"/>
          <w:szCs w:val="24"/>
          <w:lang w:val="hr-HR"/>
        </w:rPr>
        <w:t>od drugih proračuna</w:t>
      </w:r>
      <w:r w:rsidRPr="003D2346">
        <w:rPr>
          <w:rFonts w:ascii="Times New Roman" w:eastAsia="Calibri" w:hAnsi="Times New Roman" w:cs="Times New Roman"/>
          <w:sz w:val="24"/>
          <w:szCs w:val="24"/>
          <w:lang w:val="hr-HR"/>
        </w:rPr>
        <w:t xml:space="preserve"> planirani su u 2022. godinu u iznosu od 905.500,00 kn a realizirani u iznosu od 1.104.547,38 kn, odnosno veći su za 30,47 % u odnosu na izvršenje za 2021 godinu, odnosno 21,98 % viši u odnosu na plan 2022. godine.</w:t>
      </w:r>
    </w:p>
    <w:p w:rsidR="003D2346" w:rsidRPr="003D2346" w:rsidRDefault="003D2346" w:rsidP="003D2346">
      <w:pPr>
        <w:spacing w:after="0" w:line="240" w:lineRule="auto"/>
        <w:jc w:val="both"/>
        <w:rPr>
          <w:rFonts w:ascii="Times New Roman" w:eastAsia="Calibri" w:hAnsi="Times New Roman" w:cs="Times New Roman"/>
          <w:b/>
          <w:sz w:val="24"/>
          <w:szCs w:val="24"/>
          <w:highlight w:val="yellow"/>
          <w:lang w:val="hr-HR"/>
        </w:rPr>
      </w:pPr>
    </w:p>
    <w:p w:rsidR="003D2346" w:rsidRPr="003D2346" w:rsidRDefault="003D2346" w:rsidP="003D2346">
      <w:pPr>
        <w:keepNext/>
        <w:keepLines/>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1.1. PRIHODI POSLOVANJA</w:t>
      </w:r>
    </w:p>
    <w:p w:rsidR="003D2346" w:rsidRPr="003D2346" w:rsidRDefault="003D2346" w:rsidP="003D2346">
      <w:pPr>
        <w:spacing w:after="0" w:line="240" w:lineRule="auto"/>
        <w:jc w:val="both"/>
        <w:rPr>
          <w:rFonts w:ascii="Times New Roman" w:eastAsia="Calibri" w:hAnsi="Times New Roman" w:cs="Times New Roman"/>
          <w:b/>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 xml:space="preserve">1.1.1. Prihodi od poreza </w:t>
      </w:r>
    </w:p>
    <w:p w:rsidR="003D2346" w:rsidRPr="003D2346" w:rsidRDefault="003D2346" w:rsidP="003D2346">
      <w:pPr>
        <w:spacing w:after="0" w:line="240" w:lineRule="auto"/>
        <w:jc w:val="both"/>
        <w:rPr>
          <w:rFonts w:ascii="Times New Roman" w:eastAsia="Calibri" w:hAnsi="Times New Roman" w:cs="Times New Roman"/>
          <w:b/>
          <w:sz w:val="24"/>
          <w:szCs w:val="24"/>
          <w:lang w:val="hr-HR"/>
        </w:rPr>
      </w:pPr>
    </w:p>
    <w:p w:rsidR="003D2346" w:rsidRPr="003D2346" w:rsidRDefault="003D2346" w:rsidP="003D2346">
      <w:pPr>
        <w:spacing w:after="160" w:line="259" w:lineRule="auto"/>
        <w:rPr>
          <w:rFonts w:ascii="Times New Roman" w:eastAsia="Times New Roman" w:hAnsi="Times New Roman" w:cs="Times New Roman"/>
          <w:sz w:val="24"/>
          <w:szCs w:val="24"/>
          <w:lang w:val="hr-HR" w:eastAsia="hr-HR"/>
        </w:rPr>
      </w:pPr>
      <w:r w:rsidRPr="003D2346">
        <w:rPr>
          <w:rFonts w:ascii="Times New Roman" w:eastAsia="Calibri" w:hAnsi="Times New Roman" w:cs="Times New Roman"/>
          <w:sz w:val="24"/>
          <w:szCs w:val="24"/>
          <w:lang w:val="hr-HR"/>
        </w:rPr>
        <w:t xml:space="preserve">Prihodi od poreza po ostvarenju predstavljaju najznačajniju kategoriju prihoda. Planirani su u iznosu od </w:t>
      </w:r>
      <w:r w:rsidRPr="003D2346">
        <w:rPr>
          <w:rFonts w:ascii="Times New Roman" w:eastAsia="Times New Roman" w:hAnsi="Times New Roman" w:cs="Times New Roman"/>
          <w:sz w:val="24"/>
          <w:szCs w:val="24"/>
          <w:lang w:val="hr-HR" w:eastAsia="hr-HR"/>
        </w:rPr>
        <w:t xml:space="preserve">12.200.721,00 kn a realizirani u iznosu od 12.449.392,65 kn odnosno za 17,42% više u odnosu na realizaciju iz 2021. godine, odnosno 2,04% više od planiranih sredstava za 2022. godinu. </w:t>
      </w:r>
    </w:p>
    <w:p w:rsidR="003D2346" w:rsidRPr="003D2346" w:rsidRDefault="003D2346" w:rsidP="003D2346">
      <w:pPr>
        <w:spacing w:after="16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Na veće ostvarenje poreznih prihoda u 2022. godini utjecale su povoljnije okolnosti poslovanja nego što su bilo u 2021. godini kada je još bila prisutnost mjera za suzbijanje covid-19. </w:t>
      </w:r>
      <w:r w:rsidRPr="003D2346">
        <w:rPr>
          <w:rFonts w:ascii="Times New Roman" w:eastAsia="Calibri" w:hAnsi="Times New Roman" w:cs="Times New Roman"/>
          <w:b/>
          <w:bCs/>
          <w:sz w:val="24"/>
          <w:szCs w:val="24"/>
          <w:lang w:val="hr-HR"/>
        </w:rPr>
        <w:t xml:space="preserve"> </w:t>
      </w:r>
    </w:p>
    <w:p w:rsidR="003D2346" w:rsidRPr="003D2346" w:rsidRDefault="003D2346" w:rsidP="003D2346">
      <w:pPr>
        <w:spacing w:after="16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Najznačajniji porezni prihod je prihod od poreza na dohodak </w:t>
      </w:r>
      <w:bookmarkStart w:id="2" w:name="_Hlk135828909"/>
      <w:r w:rsidRPr="003D2346">
        <w:rPr>
          <w:rFonts w:ascii="Times New Roman" w:eastAsia="Calibri" w:hAnsi="Times New Roman" w:cs="Times New Roman"/>
          <w:sz w:val="24"/>
          <w:szCs w:val="24"/>
          <w:lang w:val="hr-HR"/>
        </w:rPr>
        <w:t xml:space="preserve">koji je u 2022. godini planiran u iznosu od 7.900.000 kn a ostvaren u iznosu od 7.899.739,95 kn ili 99,99% godišnjeg plana. U odnosu na 2021. godinu, ostvarenje prihoda od poreza na dohodak, veće je za 22,47%. </w:t>
      </w:r>
    </w:p>
    <w:bookmarkEnd w:id="2"/>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U 2022. godine prihod od poreza na imovinu planiran je u iznosu od 3.910.721,00 kn a ostvaren u iznosu od 4.157.091,80 kn odnosno </w:t>
      </w:r>
      <w:bookmarkStart w:id="3" w:name="_Hlk135829153"/>
      <w:r w:rsidRPr="003D2346">
        <w:rPr>
          <w:rFonts w:ascii="Times New Roman" w:eastAsia="Calibri" w:hAnsi="Times New Roman" w:cs="Times New Roman"/>
          <w:sz w:val="24"/>
          <w:szCs w:val="24"/>
          <w:lang w:val="hr-HR"/>
        </w:rPr>
        <w:t xml:space="preserve">6,30 </w:t>
      </w:r>
      <w:bookmarkEnd w:id="3"/>
      <w:r w:rsidRPr="003D2346">
        <w:rPr>
          <w:rFonts w:ascii="Times New Roman" w:eastAsia="Calibri" w:hAnsi="Times New Roman" w:cs="Times New Roman"/>
          <w:sz w:val="24"/>
          <w:szCs w:val="24"/>
          <w:lang w:val="hr-HR"/>
        </w:rPr>
        <w:t xml:space="preserve">% više od godišnjeg plana. U odnosu na 2021. godinu, ostvarenje prihoda od poreza na imovinu veće je za 10,94 %.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Unutar ove vrste prihoda najznačajniji je povremeni porez na imovinu- porez na promet nekretnina koji je ostvaren u iznosu od 3.948.623,89 kn i bilježi povećanje od 10,93 % u odnosu na prethodnu 2021.godinu.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Porez na robu i usluge (porez na potrošnju alkoholnih i bezalkoholnih pića) u izvještajnom razdoblju planiran je u iznosu od 390.000 kn a ostvaren je u iznosu od 392.560,90 kn, što je 0,66% više od godišnjeg plana dok je 31,83% veći u odnosu na isto razdoblje 2021. godine. Prema navedenom, očita je prisutnost oporavka ugostiteljske djelatnosti koja je ranije bila pogođena epidemiološkom mjerama zbog </w:t>
      </w:r>
      <w:proofErr w:type="spellStart"/>
      <w:r w:rsidRPr="003D2346">
        <w:rPr>
          <w:rFonts w:ascii="Times New Roman" w:eastAsia="Calibri" w:hAnsi="Times New Roman" w:cs="Times New Roman"/>
          <w:sz w:val="24"/>
          <w:szCs w:val="24"/>
          <w:lang w:val="hr-HR"/>
        </w:rPr>
        <w:t>covid</w:t>
      </w:r>
      <w:proofErr w:type="spellEnd"/>
      <w:r w:rsidRPr="003D2346">
        <w:rPr>
          <w:rFonts w:ascii="Times New Roman" w:eastAsia="Calibri" w:hAnsi="Times New Roman" w:cs="Times New Roman"/>
          <w:sz w:val="24"/>
          <w:szCs w:val="24"/>
          <w:lang w:val="hr-HR"/>
        </w:rPr>
        <w:t xml:space="preserve"> pandemije. Proračunski korisnik ne ostvaruje porezne prihode.</w:t>
      </w:r>
    </w:p>
    <w:p w:rsidR="003D2346" w:rsidRPr="003D2346" w:rsidRDefault="003D2346" w:rsidP="003D2346">
      <w:pPr>
        <w:spacing w:after="0" w:line="240" w:lineRule="auto"/>
        <w:jc w:val="both"/>
        <w:rPr>
          <w:rFonts w:ascii="Calibri" w:eastAsia="Calibri" w:hAnsi="Calibri" w:cs="Calibri"/>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1.1.2. Pomoći iz inozemstva  i od subjekata unutar općeg proračuna</w:t>
      </w:r>
    </w:p>
    <w:p w:rsidR="003D2346" w:rsidRPr="003D2346" w:rsidRDefault="003D2346" w:rsidP="003D2346">
      <w:pPr>
        <w:spacing w:after="0" w:line="240" w:lineRule="auto"/>
        <w:jc w:val="both"/>
        <w:rPr>
          <w:rFonts w:ascii="Times New Roman" w:eastAsia="Calibri" w:hAnsi="Times New Roman" w:cs="Times New Roman"/>
          <w:b/>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Pomoći iz inozemstva i od subjekata unutar općeg proračuna planirane su u iznosu od 2.406.409,00 kn a ostvarene su u iznosu od 2.605.383,26 kn, odnosno 8,27% više od godišnjeg plana i za 41,01 % manje od ostvarenja u istom izvještajnom razdoblju prethodne godine. Manja realizacija u odnosu na prethodnu godinu nastala je iz razloga što tijekom 2022. godine nisu realizirane kapitalne pomoći temeljem prijenosa EU sredstava. Proračunski korisnik nije ostvario pomoći.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izvještajnom razdoblju 2022. godine ostvarene su pomoći:</w:t>
      </w:r>
    </w:p>
    <w:p w:rsidR="003D2346" w:rsidRPr="003D2346" w:rsidRDefault="003D2346" w:rsidP="003D2346">
      <w:pPr>
        <w:numPr>
          <w:ilvl w:val="0"/>
          <w:numId w:val="2"/>
        </w:numPr>
        <w:spacing w:after="0" w:line="240" w:lineRule="auto"/>
        <w:contextualSpacing/>
        <w:jc w:val="both"/>
        <w:rPr>
          <w:rFonts w:ascii="Times New Roman" w:eastAsia="Calibri" w:hAnsi="Times New Roman" w:cs="Times New Roman"/>
          <w:sz w:val="24"/>
          <w:szCs w:val="24"/>
          <w:lang w:val="hr-HR"/>
        </w:rPr>
      </w:pPr>
      <w:r w:rsidRPr="003D2346">
        <w:rPr>
          <w:rFonts w:ascii="Times New Roman" w:eastAsia="Times New Roman" w:hAnsi="Times New Roman" w:cs="Times New Roman"/>
          <w:sz w:val="24"/>
          <w:szCs w:val="24"/>
          <w:lang w:val="hr-HR"/>
        </w:rPr>
        <w:t xml:space="preserve">Pomoći proračunu iz drugih proračuna ostvarene su u ukupnom iznosu od 1.104.547,38 kn, odnosno 21,98% više od godišnjeg plana i za 30,47% više nego u istom razdoblju 2021. godine. </w:t>
      </w:r>
    </w:p>
    <w:p w:rsidR="003D2346" w:rsidRPr="003D2346" w:rsidRDefault="003D2346" w:rsidP="003D2346">
      <w:pPr>
        <w:spacing w:after="0" w:line="240" w:lineRule="auto"/>
        <w:jc w:val="both"/>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Prihodi unutar ove skupine odnose se na sredstva fiskalnog izravnanja kao rezultat razlike koje općina ostvaruje iz državnog proračuna jer je kapacitet ostvarenih poreznih prihoda manji od referentne vrijednosti kapaciteta ostvarenih poreznih prihoda, te na kapitalne pomoći iz županijskog proračuna u iznosu od 200.000,00 kn za uređenje autobusnih stajališta.</w:t>
      </w:r>
    </w:p>
    <w:p w:rsidR="003D2346" w:rsidRPr="003D2346" w:rsidRDefault="003D2346" w:rsidP="003D2346">
      <w:pPr>
        <w:spacing w:after="0" w:line="240" w:lineRule="auto"/>
        <w:jc w:val="both"/>
        <w:rPr>
          <w:rFonts w:ascii="Times New Roman" w:eastAsia="Calibri" w:hAnsi="Times New Roman" w:cs="Times New Roman"/>
          <w:color w:val="FF0000"/>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 xml:space="preserve">1.1.3. Prihodi od imovine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Prihodi od imovine su planirani u iznosu od 3.063.500,00 kn, od čega je ostvareno 2.848.997,72 Kn što je za 7% manje od plana iz 2022 godinu, odnosno 4,14% više u odnosu na izvršenje prihoda od imovine iz prethodne godine.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Ovi prihodi se najvećim dijelom odnose na prihode od nefinancijske imovine koji su planirani u iznosu 3.013.000, 00 Kn a realizirani u iznosu od 2.832.700,36, što je 5,98% manje od plana za 2022 godinu, a 3,82% više od planiranih sredstava za prethodnu godinu.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okviru navedenog iznosa  najznačajniji su prihodi od naknada za koncesije u iznosu od 1.596.927,53 Kn, a koje su veće za 15,73% u odnosu na izvršenje prethodne godine.</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Prihod od zakupa i iznajmljivanja imovine ostvaren je u iznosu od 178.562,20 Kn, što je 12,58% manje u odnosu na izvršenje iz prethodne godine. Prihod od naknada za korištenje nefinancijske imovine ostvaren je u iznosu od 1.057.210,63 ili 7,61% manje u odnosu na ostvarenje u istom razdoblju 2021.g, a odnosi se na prihode od eksploatacije mineralnih sirovina u iznosu od 106.748,42 kn i na prihode od proizvodnje alternativnih izvora energije u iznosu od 531.126,80 kn te naknada za pravo služnosti u iznosu od 419.325,13 kn.</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Proračunski korisnik u ukupno ostvarenim prihodima od imovine ne sudjeluje.  </w:t>
      </w:r>
    </w:p>
    <w:p w:rsidR="003D2346" w:rsidRPr="003D2346" w:rsidRDefault="003D2346" w:rsidP="003D2346">
      <w:pPr>
        <w:spacing w:after="0" w:line="240" w:lineRule="auto"/>
        <w:jc w:val="both"/>
        <w:rPr>
          <w:rFonts w:ascii="Times New Roman" w:eastAsia="Calibri" w:hAnsi="Times New Roman" w:cs="Times New Roman"/>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1.1.4. Prihodi od upravnih i administrativnih pristojbi, pristojbi po posebnim propisima i naknada</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Navedena vrsta prihoda planirana je u iznosu od 9.984.500,00 a ostvarena je u iznosu od 10.832.385,99 kn, što iznosi 10,05% manje od realizacije prethodne godine odnosno 8,49% više od plana realizacije za 2022 godinu.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Unutar ove skupine prihoda na proračunskog korisnika odnosi se 477.036,39 kn, a čine ga prihodi od uplate roditelja.</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Unutar strukture ove vrste prihoda najznačajnije je ostvarenje prihoda od komunalnih doprinosa u iznosu od 3.924.467,66 kn, a koji su manji za 36,97%, te prihoda od komunalne naknade u iznosu od 5.111.892,71 kn, što je 12,93% više u odnosu na izvršenje prihoda iz komunalne naknada iz prethodne godine.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Upravne i administrativne pristojbe koje su ostvarene u iznosu od 1.048.458,61 kn, više su za 43,31% u odnosu na prethodnu godinu, a najznačajniji prihod od 1.047.854,37 kn odnosi se na prihode od turističke pristojbe.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shd w:val="clear" w:color="auto" w:fill="FFFFFF"/>
          <w:lang w:val="hr-HR"/>
        </w:rPr>
        <w:t>Prihodi po posebnim propisima ostvareni su u iznosu od 747.567,01 kn ili 87,59% godišnjeg</w:t>
      </w:r>
      <w:r w:rsidRPr="003D2346">
        <w:rPr>
          <w:rFonts w:ascii="Times New Roman" w:eastAsia="Calibri" w:hAnsi="Times New Roman" w:cs="Times New Roman"/>
          <w:sz w:val="24"/>
          <w:szCs w:val="24"/>
          <w:lang w:val="hr-HR"/>
        </w:rPr>
        <w:t xml:space="preserve"> plana obuhvaćaju prihode od evidencije NUV-a, naknade za pripremu zemljišta i nezakonito izgrađenih zgrada, naknada za grobno mjesto i vodni doprinos, te ostale prihode. Od navedenog, proračunski korisnik prihod od 447.036,40 kn ostvario je od obavljanja svoje osnovne djelatnosti, sufinanciranjem cijene svojih usluga.</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 xml:space="preserve">1.2. PRIHODI OD PRODAJE NEFINANCIJSKE IMOVINE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Realizacija prihoda od prodaje nefinancijske imovine iznosi 347.000,00 kn, odnosno 8,44% više od plana za 2022 godinu, odnosno 55,80% manje od realizacije iz prethodne godine.</w:t>
      </w:r>
    </w:p>
    <w:p w:rsidR="003D2346" w:rsidRPr="003D2346" w:rsidRDefault="003D2346" w:rsidP="003D2346">
      <w:pPr>
        <w:spacing w:after="160" w:line="240" w:lineRule="auto"/>
        <w:rPr>
          <w:rFonts w:ascii="Times New Roman" w:eastAsia="Calibri" w:hAnsi="Times New Roman" w:cs="Times New Roman"/>
          <w:b/>
          <w:sz w:val="24"/>
          <w:szCs w:val="24"/>
          <w:lang w:val="hr-HR"/>
        </w:rPr>
      </w:pPr>
    </w:p>
    <w:p w:rsidR="003D2346" w:rsidRPr="003D2346" w:rsidRDefault="003D2346" w:rsidP="003D2346">
      <w:pPr>
        <w:keepNext/>
        <w:spacing w:after="0" w:line="240" w:lineRule="auto"/>
        <w:outlineLvl w:val="1"/>
        <w:rPr>
          <w:rFonts w:ascii="Times New Roman" w:eastAsia="Times New Roman" w:hAnsi="Times New Roman" w:cs="Times New Roman"/>
          <w:b/>
          <w:bCs/>
          <w:sz w:val="24"/>
          <w:szCs w:val="24"/>
          <w:lang w:val="hr-HR"/>
        </w:rPr>
      </w:pPr>
      <w:r w:rsidRPr="003D2346">
        <w:rPr>
          <w:rFonts w:ascii="Times New Roman" w:eastAsia="Times New Roman" w:hAnsi="Times New Roman" w:cs="Times New Roman"/>
          <w:b/>
          <w:bCs/>
          <w:sz w:val="24"/>
          <w:szCs w:val="24"/>
          <w:lang w:val="hr-HR"/>
        </w:rPr>
        <w:t>2) RASHODI I IZDACI</w:t>
      </w:r>
    </w:p>
    <w:p w:rsidR="003D2346" w:rsidRPr="003D2346" w:rsidRDefault="003D2346" w:rsidP="003D2346">
      <w:pPr>
        <w:spacing w:after="16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Rashodi poslovanja klasificiraju se na rashode za zaposlene, materijalne rashode, financijske rashode, subvencije, pomoći, naknade i ostale rashode.</w:t>
      </w:r>
    </w:p>
    <w:p w:rsidR="003D2346" w:rsidRPr="003D2346" w:rsidRDefault="003D2346" w:rsidP="003D2346">
      <w:pPr>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Ukupno planirani rashodi i izdaci za 2022. godinu iznose 26.205.661 kn od čega je u izvještajnom razdoblju ostvareno 20.332.794,32 kn što je 39,46% manje u odnosu na realizaciju prethodne godine, odnosno 22,41% manje u odnosu na plan rashoda za 2022 godinu. </w:t>
      </w:r>
    </w:p>
    <w:p w:rsidR="003D2346" w:rsidRPr="003D2346" w:rsidRDefault="003D2346" w:rsidP="003D2346">
      <w:pPr>
        <w:spacing w:after="160" w:line="259" w:lineRule="auto"/>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Rashodi i izdaci po vrsti u ukupnom iznosu sadrže rashode i izdatke Jedinstvenog upravnog odjela i rashode proračunskog korisnika – Dječjeg vrtića Seget. </w:t>
      </w:r>
    </w:p>
    <w:p w:rsidR="003D2346" w:rsidRPr="003D2346" w:rsidRDefault="003D2346" w:rsidP="003D2346">
      <w:pPr>
        <w:spacing w:after="160" w:line="259" w:lineRule="auto"/>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Tablica 2. Ostvarenje rashoda i izdataka konsolidiranog Proračuna Općine Seget za  I.-XII. 2022.godinu</w:t>
      </w:r>
    </w:p>
    <w:p w:rsidR="003D2346" w:rsidRPr="003D2346" w:rsidRDefault="003D2346" w:rsidP="003D2346">
      <w:pPr>
        <w:spacing w:after="160" w:line="259" w:lineRule="auto"/>
        <w:rPr>
          <w:rFonts w:ascii="Calibri" w:eastAsia="Calibri" w:hAnsi="Calibri" w:cs="Times New Roman"/>
          <w:lang w:val="hr-HR"/>
        </w:rPr>
      </w:pPr>
    </w:p>
    <w:tbl>
      <w:tblPr>
        <w:tblW w:w="104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240"/>
        <w:gridCol w:w="1240"/>
        <w:gridCol w:w="1240"/>
        <w:gridCol w:w="1240"/>
        <w:gridCol w:w="937"/>
        <w:gridCol w:w="848"/>
      </w:tblGrid>
      <w:tr w:rsidR="003D2346" w:rsidRPr="003D2346" w:rsidTr="008D5134">
        <w:trPr>
          <w:trHeight w:val="264"/>
        </w:trPr>
        <w:tc>
          <w:tcPr>
            <w:tcW w:w="3686"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Račun / opis</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2021.</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Tekući plan 2022.</w:t>
            </w:r>
          </w:p>
        </w:tc>
        <w:tc>
          <w:tcPr>
            <w:tcW w:w="1240" w:type="dxa"/>
            <w:shd w:val="clear" w:color="000000" w:fill="C0C0C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937"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4/1</w:t>
            </w:r>
          </w:p>
        </w:tc>
        <w:tc>
          <w:tcPr>
            <w:tcW w:w="848" w:type="dxa"/>
            <w:shd w:val="clear" w:color="000000" w:fill="C0C0C0"/>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4/3</w:t>
            </w:r>
          </w:p>
        </w:tc>
      </w:tr>
      <w:tr w:rsidR="003D2346" w:rsidRPr="003D2346" w:rsidTr="008D5134">
        <w:trPr>
          <w:trHeight w:val="264"/>
        </w:trPr>
        <w:tc>
          <w:tcPr>
            <w:tcW w:w="3686" w:type="dxa"/>
            <w:shd w:val="clear" w:color="000000" w:fill="808080"/>
            <w:noWrap/>
            <w:vAlign w:val="bottom"/>
            <w:hideMark/>
          </w:tcPr>
          <w:p w:rsidR="003D2346" w:rsidRPr="003D2346" w:rsidRDefault="003D2346" w:rsidP="003D2346">
            <w:pPr>
              <w:tabs>
                <w:tab w:val="left" w:pos="1021"/>
              </w:tabs>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A. RAČUN PRIHODA I RASHODA</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1</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3</w:t>
            </w:r>
          </w:p>
        </w:tc>
        <w:tc>
          <w:tcPr>
            <w:tcW w:w="1240" w:type="dxa"/>
            <w:shd w:val="clear" w:color="000000" w:fill="808080"/>
            <w:noWrap/>
            <w:vAlign w:val="bottom"/>
            <w:hideMark/>
          </w:tcPr>
          <w:p w:rsidR="003D2346" w:rsidRPr="003D2346" w:rsidRDefault="003D2346" w:rsidP="003D2346">
            <w:pPr>
              <w:tabs>
                <w:tab w:val="left" w:pos="1021"/>
              </w:tabs>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4</w:t>
            </w:r>
          </w:p>
        </w:tc>
        <w:tc>
          <w:tcPr>
            <w:tcW w:w="937"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5</w:t>
            </w:r>
          </w:p>
        </w:tc>
        <w:tc>
          <w:tcPr>
            <w:tcW w:w="848" w:type="dxa"/>
            <w:shd w:val="clear" w:color="000000"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6</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 Rashodi poslovanja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23.063.102,58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26.774.170,00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19.843.195,07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16.897.704,96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73,27%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85,16%</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31 Rashodi za zaposlene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3.788.934,53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4.650.960,00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4.253.509,00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4.026.887,30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106,28%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94,67%</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311 Plaće (Bruto)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2.866.844,39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3.477.600,00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3.115.122,00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2.987.905,66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104,22%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95,92%</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3111 Plaće za redovan rad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2.866.844,39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2.987.905,66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104,22%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312 Ostali rashodi za zaposlene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451.014,84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610.000,00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544.236,73</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120,67%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89,22%</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3121 Ostali rashodi za zaposlene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451.014,84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544.236,73</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120,67%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313 Doprinosi na plaće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471.075,30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593.360,00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528.387,00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494.744,91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105,02%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93,63%</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3132 Doprinosi za obvezno zdravstveno osiguranje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471.075,30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494.744,91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105,02%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32 Materijalni rashodi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13.319.592,10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12.532.735,00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8.839.286,07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6.788.107,41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50,96%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76,79%</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321 Naknade troškova zaposlenima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181.866,35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396.300,00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277.060,00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211.477,21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116,28%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76,33%</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3211 Službena putovanja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5.369,25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43.704,71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813,98%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3212 Naknade za prijevoz, za rad na terenu i odvojeni život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141.603,00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157.260,00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111,06%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3213 Stručno usavršavanje zaposlenika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34.894,10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10.512,50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30,13%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322 Rashodi za materijal i energiju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1.381.679,97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1.924.850,00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2.709.101,07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2.529.947,15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183,11%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93,39%</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3221 Uredski materijal i ostali materijalni rashodi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105.960,47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158.104,34</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149,21%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3222 Materijal i sirovine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169.781,39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273.984,52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161,37%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3223 Energija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1.003.900,20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2.004.037,98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199,63%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3224 Materijal i dijelovi za tekuće i investicijsko održavanje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63.205,92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21.399,09</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33,86%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3225 Sitni inventar i auto gume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38.831,99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72.421,22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186,50%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323 Rashodi za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10.188.687,03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9.259.560,00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5.174.100,00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3.324.907,47</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32,63%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64,26%</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3231 Usluge telefona, pošte i prijevoza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91.344,54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169.478,67</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185,54%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3232 Usluge tekućeg i investicijskog održavanja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8.308.087,69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1.308.579,80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15,75%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3233 Usluge promidžbe i informiranja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126.021,50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48.172,00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38,23%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3234 Komunalne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1.235.158,60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1.204.743,62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97,54%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3236 Zdravstvene i veterinarske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17.793,45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25.500,00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143,31%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3237 Intelektualne i osobne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348.608,86</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469.699,57</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134,74%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3238 Računalne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27.960,00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39.103,75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139,86%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3239 Ostale usluge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33.712,39</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59.630,06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176,88%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329 Ostali nespomenuti rashodi poslovanja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1.567.358,75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952.025,00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679.025,00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721.775,58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46,05%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106,30%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3291 Naknade za rad predstavničkih i izvršnih tijela, povjerenstava i slično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716.072,75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376.523,16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52,58%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3292 Premije osiguranja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10.216,71</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14.279,45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139,77%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3293 Reprezentacija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66.086,61</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62.722,91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94,91%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3295 Pristojbe i naknade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613.033,80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265.448,01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43,30%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3299 Ostali nespomenuti rashodi poslovanja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161.948,88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2.802,05</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1,73%</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34 Financijski rashodi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126.129,03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143.600,00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60.600,00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33.363,50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26,45%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55,06%</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343 Ostali financijski rashodi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126.129,03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143.600,00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60.600,00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33.363,50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26,45%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55,06%</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3431 Bankarske usluge i usluge platnog prometa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32.827,38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28.750,81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87,58%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3433 Zatezne kamate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93.301,65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4.612,69</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4,94%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35 Subvencije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1.478.734,08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139,50%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89,62%</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351 Subvencije trgovačkim društvima u javnom sektoru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1.060.000,00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1.800.000,00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1.478.734,08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139,50%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89,62%</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3512 Subvencije trgovačkim društvima u javnom sektoru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1.060.000,00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1.478.734,08</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139,50%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 Pomoći dane u inozemstvo i unutar općeg proračuna</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497.500,00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363 Pomoći unutar općeg proračuna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497.500,00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37 Naknade građanima i kućanstvima na temelju osiguranja i druge naknade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2.441.900,00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2.494.875,00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2.487.300,00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2.287.036,74</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93,66%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91,95%</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372 Ostale naknade građanima i kućanstvima iz proračuna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2.441.900,00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2.494.875,00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2.487.300,00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2.287.036,74</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93,66%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91,95%</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3721 Naknade građanima i kućanstvima u novcu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1.723.850,00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1.009.090,00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58,54%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3722 Naknade građanima i kućanstvima u naravi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718.050,00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1.277.946,74</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177,97%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38 Ostali rashodi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2.326.546,92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4.654.500,00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2.552.500,00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2.283.575,93</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98,15%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89,46%</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381 Tekuće donacije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2.068.812,64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2.975.625,00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2.279.500,00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2.118.229,41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102,39%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92,93%</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3811 Tekuće donacije u novcu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2.068.812,64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2.118.229,41</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102,39%</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382 Kapitalne donacije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94.200,00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1.137.375,00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1.580,00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79,00%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3821 Kapitalne donacije neprofitnim organizacijama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94.200,00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1.580,00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1,68%</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383 Kazne, penali i naknade štete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163.534,28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3831 Naknade šteta pravnim i fizičkim osobama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3835 Ostale kazne</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161.534,28</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385 Izvanredni rashodi</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76.000,00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386 Kapitalne pomoći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161.500,00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165.000,00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163.766,52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99,25%</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3861 Kapitalne pomoći kreditnim i ostalim financijskim institucijama te trgovačkim društvima u javnom </w:t>
            </w:r>
            <w:proofErr w:type="spellStart"/>
            <w:r w:rsidRPr="003D2346">
              <w:rPr>
                <w:rFonts w:ascii="Arial" w:eastAsia="Times New Roman" w:hAnsi="Arial" w:cs="Arial"/>
                <w:sz w:val="16"/>
                <w:szCs w:val="16"/>
                <w:lang w:val="hr-HR" w:eastAsia="hr-HR"/>
              </w:rPr>
              <w:t>sek</w:t>
            </w:r>
            <w:proofErr w:type="spellEnd"/>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163.766,52</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 Rashodi za nabavu nefinancijske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10.520.362,63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22.063.433,00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6.362.465,93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3.435.089,36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32,65%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53,99%</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41 Rashodi za nabavu </w:t>
            </w:r>
            <w:proofErr w:type="spellStart"/>
            <w:r w:rsidRPr="003D2346">
              <w:rPr>
                <w:rFonts w:ascii="Arial" w:eastAsia="Times New Roman" w:hAnsi="Arial" w:cs="Arial"/>
                <w:b/>
                <w:bCs/>
                <w:sz w:val="16"/>
                <w:szCs w:val="16"/>
                <w:lang w:val="hr-HR" w:eastAsia="hr-HR"/>
              </w:rPr>
              <w:t>neproizvedene</w:t>
            </w:r>
            <w:proofErr w:type="spellEnd"/>
            <w:r w:rsidRPr="003D2346">
              <w:rPr>
                <w:rFonts w:ascii="Arial" w:eastAsia="Times New Roman" w:hAnsi="Arial" w:cs="Arial"/>
                <w:b/>
                <w:bCs/>
                <w:sz w:val="16"/>
                <w:szCs w:val="16"/>
                <w:lang w:val="hr-HR" w:eastAsia="hr-HR"/>
              </w:rPr>
              <w:t xml:space="preserve"> dugotrajne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687.875,00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947.360,00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175.250,00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14,17%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55,63%</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412 Nematerijalna imovina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687.875,00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947.360,00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175.250,00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14,17%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55,63%</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4126 Ostala nematerijalna imovina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687.875,00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97.500,00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14,17%</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42 Rashodi za nabavu proizvedene dugotrajne imovine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9.832.487,63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21.104.073,00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6.187.215,93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3.337.589,36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33,94%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53,94%</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421 Građevinski objekti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9.674.473,36</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18.506.475,00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5.508.065,93</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2.751.039,36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28,44%</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49,95%</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4212 Poslovni objekti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9.523.610,84</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1.726.039,36</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18,12%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4213 Ceste, željeznice i ostali prometni objekti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122.687,50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332.500,00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271,01%</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4214 Ostali građevinski objekti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28.175,02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692.500,00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2457,85%</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422 Postrojenja i oprema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158.014,27</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2.476.225,00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589.750,00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528.425,00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334,42%</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89,60%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4221 Uredska oprema i namještaj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21.482,00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15.760,00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73,36%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4223 Oprema za održavanje i zaštitu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18.368,75</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4227 Uređaji, strojevi i oprema za ostale namjene                                                        </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118.163,52</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512.665,00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433,86%</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423 Prijevozna sredstva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424 Knjige, umjetnička djela i ostale izložbene vrijednosti</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1.373,00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426 Nematerijalna proizvedena imovina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89.400,00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58.125,00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65,02%</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 xml:space="preserve">4262 Ulaganja u računalne programe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Times New Roman" w:eastAsia="Times New Roman" w:hAnsi="Times New Roman" w:cs="Times New Roman"/>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58.125,00</w:t>
            </w: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45 Rashodi za dodatna ulaganja na nefinancijskoj imovini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3686"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451 Dodatna ulaganja na građevinskim objektima                                                          </w:t>
            </w:r>
          </w:p>
        </w:tc>
        <w:tc>
          <w:tcPr>
            <w:tcW w:w="1240" w:type="dxa"/>
            <w:shd w:val="clear" w:color="auto" w:fill="auto"/>
            <w:noWrap/>
            <w:vAlign w:val="bottom"/>
            <w:hideMark/>
          </w:tcPr>
          <w:p w:rsidR="003D2346" w:rsidRPr="003D2346" w:rsidRDefault="003D2346" w:rsidP="003D2346">
            <w:pPr>
              <w:tabs>
                <w:tab w:val="left" w:pos="1021"/>
              </w:tabs>
              <w:spacing w:after="0" w:line="240" w:lineRule="auto"/>
              <w:rPr>
                <w:rFonts w:ascii="Arial" w:eastAsia="Times New Roman" w:hAnsi="Arial" w:cs="Arial"/>
                <w:b/>
                <w:bCs/>
                <w:sz w:val="16"/>
                <w:szCs w:val="16"/>
                <w:lang w:val="hr-HR" w:eastAsia="hr-HR"/>
              </w:rPr>
            </w:pP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12.000,00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240" w:type="dxa"/>
            <w:shd w:val="clear" w:color="auto" w:fill="auto"/>
            <w:noWrap/>
            <w:vAlign w:val="bottom"/>
            <w:hideMark/>
          </w:tcPr>
          <w:p w:rsidR="003D2346" w:rsidRPr="003D2346" w:rsidRDefault="003D2346" w:rsidP="003D2346">
            <w:pPr>
              <w:tabs>
                <w:tab w:val="left" w:pos="1021"/>
              </w:tabs>
              <w:spacing w:after="0" w:line="240" w:lineRule="auto"/>
              <w:jc w:val="right"/>
              <w:rPr>
                <w:rFonts w:ascii="Arial" w:eastAsia="Times New Roman" w:hAnsi="Arial" w:cs="Arial"/>
                <w:b/>
                <w:bCs/>
                <w:sz w:val="16"/>
                <w:szCs w:val="16"/>
                <w:lang w:val="hr-HR" w:eastAsia="hr-HR"/>
              </w:rPr>
            </w:pPr>
          </w:p>
        </w:tc>
        <w:tc>
          <w:tcPr>
            <w:tcW w:w="937"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848" w:type="dxa"/>
            <w:shd w:val="clear" w:color="auto" w:fill="auto"/>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bl>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spacing w:after="16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Iz danog prikaza vidljivo je da su u razdoblju I-XII.2022. godine ukupni proračunski rashodi i izdaci izvršeni u iznosu od 20.332.794,32 ili 77,59% od godišnjeg plana za 2022. U strukturi ukupno izvršenih rashoda i izdataka proračuna najveći je udjel rashoda poslovanja u iznosu od 16.897.704,96 što je 83,11%, ukupnih rashoda dok udio rashoda za nabavu nefinancijske imovine iznos je 16,89% u ukupnom iznosu od 3.435.089,36 kn.</w:t>
      </w:r>
    </w:p>
    <w:p w:rsidR="003D2346" w:rsidRPr="003D2346" w:rsidRDefault="003D2346" w:rsidP="003D2346">
      <w:pPr>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izvještajnom razdoblju I.-XII.2022. godine rashodi poslovanja su realizirani u udjelu od 73,27% od realizacije rashoda poslovanja prethodne godine, što je za 14,84% manje od planiranih rashoda poslovanja za 2022 godinu.</w:t>
      </w:r>
    </w:p>
    <w:p w:rsidR="003D2346" w:rsidRPr="003D2346" w:rsidRDefault="003D2346" w:rsidP="003D2346">
      <w:pPr>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Manje ostvarenje rashoda za nabavu nefinancijske imovine sukladno je  dinamici dovršetka novog dječjeg vrtića koji je sufinanciran EU sredstvima. </w:t>
      </w:r>
    </w:p>
    <w:p w:rsidR="003D2346" w:rsidRPr="003D2346" w:rsidRDefault="003D2346" w:rsidP="003D2346">
      <w:pPr>
        <w:spacing w:after="16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 U nastavku slijedi obrazloženje izvršenja rashoda i izdataka proračuna u razdoblju I.-XII. 2022. godine.</w:t>
      </w:r>
    </w:p>
    <w:p w:rsidR="003D2346" w:rsidRPr="003D2346" w:rsidRDefault="003D2346" w:rsidP="003D2346">
      <w:pPr>
        <w:spacing w:after="0" w:line="240" w:lineRule="auto"/>
        <w:jc w:val="both"/>
        <w:rPr>
          <w:rFonts w:ascii="Calibri" w:eastAsia="Calibri" w:hAnsi="Calibri" w:cs="Calibri"/>
          <w:sz w:val="24"/>
          <w:szCs w:val="24"/>
          <w:lang w:val="hr-HR"/>
        </w:rPr>
      </w:pPr>
    </w:p>
    <w:p w:rsidR="003D2346" w:rsidRPr="003D2346" w:rsidRDefault="003D2346" w:rsidP="003D2346">
      <w:pPr>
        <w:keepNext/>
        <w:keepLines/>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 xml:space="preserve">2.1.  RASHODI POSLOVANJA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Planirani rashodi poslovanja su </w:t>
      </w:r>
      <w:r w:rsidRPr="003D2346">
        <w:rPr>
          <w:rFonts w:ascii="Times New Roman" w:eastAsia="Times New Roman" w:hAnsi="Times New Roman" w:cs="Times New Roman"/>
          <w:sz w:val="24"/>
          <w:szCs w:val="24"/>
          <w:lang w:val="hr-HR" w:eastAsia="hr-HR"/>
        </w:rPr>
        <w:t>19.843.195,07 kn</w:t>
      </w:r>
      <w:r w:rsidRPr="003D2346">
        <w:rPr>
          <w:rFonts w:ascii="Times New Roman" w:eastAsia="Calibri" w:hAnsi="Times New Roman" w:cs="Times New Roman"/>
          <w:sz w:val="24"/>
          <w:szCs w:val="24"/>
          <w:lang w:val="hr-HR"/>
        </w:rPr>
        <w:t>, a ostvareni su u iznosu od 16.897.704,96 kn što je 14,84% manje od plana za 2022 godinu. U odnosu na usporednu 2021. godinu rashodi poslovanja manji su za 26.73%.  Pojedine vrste rashoda unutar rashoda poslovanja izvršene su kako slijedi:</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2.1.1. Rashodi za zaposlene</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Rashodi za zaposlene u Općini Seget i za zaposlene proračunskog korisnika koji obuhvaćaju plaće, doprinose na plaće i ostale rashode za zaposlene planirani su u iznosu od 4.253.509 kn, a izvršeni su u iznosu od 4.026.887,30 kn što je 5,33% manje od planiranog za 2022 godinu. U odnosu na isto razdoblje prethodne godine veći su za 6,28%.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2.1.2 Materijalni rashodi</w:t>
      </w:r>
    </w:p>
    <w:p w:rsidR="003D2346" w:rsidRPr="003D2346" w:rsidRDefault="003D2346" w:rsidP="003D2346">
      <w:pPr>
        <w:spacing w:after="0" w:line="240" w:lineRule="auto"/>
        <w:ind w:left="1080"/>
        <w:contextualSpacing/>
        <w:jc w:val="both"/>
        <w:rPr>
          <w:rFonts w:ascii="Times New Roman" w:eastAsia="Calibri" w:hAnsi="Times New Roman" w:cs="Times New Roman"/>
          <w:b/>
          <w:sz w:val="24"/>
          <w:szCs w:val="24"/>
          <w:lang w:val="hr-HR"/>
        </w:rPr>
      </w:pPr>
    </w:p>
    <w:p w:rsidR="003D2346" w:rsidRPr="003D2346" w:rsidRDefault="003D2346" w:rsidP="003D2346">
      <w:pPr>
        <w:tabs>
          <w:tab w:val="left" w:pos="720"/>
        </w:tabs>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b/>
          <w:bCs/>
          <w:sz w:val="24"/>
          <w:szCs w:val="24"/>
          <w:lang w:val="hr-HR"/>
        </w:rPr>
        <w:t>Materijalni rashodi</w:t>
      </w:r>
      <w:r w:rsidRPr="003D2346">
        <w:rPr>
          <w:rFonts w:ascii="Times New Roman" w:eastAsia="Calibri" w:hAnsi="Times New Roman" w:cs="Times New Roman"/>
          <w:sz w:val="24"/>
          <w:szCs w:val="24"/>
          <w:lang w:val="hr-HR"/>
        </w:rPr>
        <w:t xml:space="preserve"> planirani su u iznosu od 8.839.286,07 kn, a ostvareni su u iznosu od 6.788.107,41 kn što je 23,21% manje od planiranog za 2022 godinu, odnosno 49,04% manje od izvršenja materijalnih rashoda iz prethodne godine. </w:t>
      </w:r>
    </w:p>
    <w:p w:rsidR="003D2346" w:rsidRPr="003D2346" w:rsidRDefault="003D2346" w:rsidP="003D2346">
      <w:pPr>
        <w:tabs>
          <w:tab w:val="left" w:pos="720"/>
        </w:tabs>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Kod materijalnih rashoda primjetno je smanjenje istih u odnosu na 2021. godinu u kojoj je bilo pojačano tekuće i investicijsko održavanje kao i veće naknade za rad predstavničkih i izvršnih tijela.</w:t>
      </w:r>
    </w:p>
    <w:p w:rsidR="003D2346" w:rsidRPr="003D2346" w:rsidRDefault="003D2346" w:rsidP="003D2346">
      <w:pPr>
        <w:tabs>
          <w:tab w:val="left" w:pos="720"/>
        </w:tabs>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Pojedine vrste materijalnih rashoda ostvarene su kako slijedi:</w:t>
      </w:r>
    </w:p>
    <w:p w:rsidR="003D2346" w:rsidRPr="003D2346" w:rsidRDefault="003D2346" w:rsidP="003D2346">
      <w:pPr>
        <w:spacing w:after="0" w:line="240" w:lineRule="auto"/>
        <w:jc w:val="both"/>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 Naknade troškova zaposlenima</w:t>
      </w:r>
    </w:p>
    <w:p w:rsidR="003D2346" w:rsidRPr="003D2346" w:rsidRDefault="003D2346" w:rsidP="003D2346">
      <w:pPr>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Naknade troškova zaposlenima ostvarene su u iznosu od 211.477,21 kn. Među ovim rashodima najznačajniji su naknade za prijevoz na posao u iznosu od 157.260,00 kn, stručno usavršavanje zaposlenika (</w:t>
      </w:r>
      <w:proofErr w:type="spellStart"/>
      <w:r w:rsidRPr="003D2346">
        <w:rPr>
          <w:rFonts w:ascii="Times New Roman" w:eastAsia="Calibri" w:hAnsi="Times New Roman" w:cs="Times New Roman"/>
          <w:sz w:val="24"/>
          <w:szCs w:val="24"/>
          <w:lang w:val="hr-HR"/>
        </w:rPr>
        <w:t>webinari</w:t>
      </w:r>
      <w:proofErr w:type="spellEnd"/>
      <w:r w:rsidRPr="003D2346">
        <w:rPr>
          <w:rFonts w:ascii="Times New Roman" w:eastAsia="Calibri" w:hAnsi="Times New Roman" w:cs="Times New Roman"/>
          <w:sz w:val="24"/>
          <w:szCs w:val="24"/>
          <w:lang w:val="hr-HR"/>
        </w:rPr>
        <w:t>, savjetovanja) u iznosu od 10.512,50 kn.</w:t>
      </w:r>
    </w:p>
    <w:p w:rsidR="003D2346" w:rsidRPr="003D2346" w:rsidRDefault="003D2346" w:rsidP="003D2346">
      <w:pPr>
        <w:spacing w:after="0" w:line="240" w:lineRule="auto"/>
        <w:jc w:val="both"/>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 Rashodi za materijal i energiju</w:t>
      </w:r>
    </w:p>
    <w:p w:rsidR="003D2346" w:rsidRPr="003D2346" w:rsidRDefault="003D2346" w:rsidP="003D2346">
      <w:pPr>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Ovi rashodi su ostvareni u iznosu od 2.529.947,15 što je za 83,11% više u odnosu na izvršenje u prethodnoj godini, odnosno 6,61% manje od planiranih sredstava za 2022 godinu. </w:t>
      </w:r>
    </w:p>
    <w:p w:rsidR="003D2346" w:rsidRPr="003D2346" w:rsidRDefault="003D2346" w:rsidP="003D2346">
      <w:pPr>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strukturi najveću stavku predstavljaju rashodi za energiju koji iznose 2.004.037,98 kn koji su veći za 99,63% od rashoda za energiju u prethodnoj godini.</w:t>
      </w:r>
    </w:p>
    <w:p w:rsidR="003D2346" w:rsidRPr="003D2346" w:rsidRDefault="003D2346" w:rsidP="003D2346">
      <w:pPr>
        <w:spacing w:after="0" w:line="240" w:lineRule="auto"/>
        <w:jc w:val="both"/>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 xml:space="preserve">- Rashodi za usluge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Rashodi za usluge koji su planirani u iznosu od 5.174.100,00 a ostvareni u iznosu od 3.324.907,47 kn što je za 67,37% manje u odnosu na usporednu 2021. godinu odnosno 35,74% manje u odnosu na plan tekuće godine.</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U strukturi rashoda za poslovanje sredstva su najvećim dijelom utrošena za tekuće i investicijsko održavanje u iznosu od 1.308.579,80 kn što je 15,75% od ostvarenja navedenih usluga u prethodnoj proračunskoj godini,  te za komunalne usluge u iznosu od 1.204.743,62 i za intelektualne usluge u iznosu od 469.699,57 kn, a koji se odnose na izdatke u proračunu Općine Seget.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Tekuće i investicijsko održavanje - najznačajniji izdaci odnose se na održavanje softwarea u održavanje javne rasvjete</w:t>
      </w:r>
      <w:bookmarkStart w:id="4" w:name="_Hlk135117430"/>
      <w:r w:rsidRPr="003D2346">
        <w:rPr>
          <w:rFonts w:ascii="Times New Roman" w:eastAsia="Calibri" w:hAnsi="Times New Roman" w:cs="Times New Roman"/>
          <w:sz w:val="24"/>
          <w:szCs w:val="24"/>
          <w:lang w:val="hr-HR"/>
        </w:rPr>
        <w:t xml:space="preserve">, izradu parcelacijskih elaborata za rotor u Seget Vranjici i za prometno rješenje naselja </w:t>
      </w:r>
      <w:proofErr w:type="spellStart"/>
      <w:r w:rsidRPr="003D2346">
        <w:rPr>
          <w:rFonts w:ascii="Times New Roman" w:eastAsia="Calibri" w:hAnsi="Times New Roman" w:cs="Times New Roman"/>
          <w:sz w:val="24"/>
          <w:szCs w:val="24"/>
          <w:lang w:val="hr-HR"/>
        </w:rPr>
        <w:t>Jarebinac</w:t>
      </w:r>
      <w:bookmarkEnd w:id="4"/>
      <w:proofErr w:type="spellEnd"/>
      <w:r w:rsidRPr="003D2346">
        <w:rPr>
          <w:rFonts w:ascii="Times New Roman" w:eastAsia="Calibri" w:hAnsi="Times New Roman" w:cs="Times New Roman"/>
          <w:sz w:val="24"/>
          <w:szCs w:val="24"/>
          <w:lang w:val="hr-HR"/>
        </w:rPr>
        <w:t xml:space="preserve">, izmještanje niskonaponske mreže HEP-u i za izvođenje zaštitnih arheoloških radova </w:t>
      </w:r>
      <w:proofErr w:type="spellStart"/>
      <w:r w:rsidRPr="003D2346">
        <w:rPr>
          <w:rFonts w:ascii="Times New Roman" w:eastAsia="Calibri" w:hAnsi="Times New Roman" w:cs="Times New Roman"/>
          <w:sz w:val="24"/>
          <w:szCs w:val="24"/>
          <w:lang w:val="hr-HR"/>
        </w:rPr>
        <w:t>Konacvine</w:t>
      </w:r>
      <w:proofErr w:type="spellEnd"/>
      <w:r w:rsidRPr="003D2346">
        <w:rPr>
          <w:rFonts w:ascii="Times New Roman" w:eastAsia="Calibri" w:hAnsi="Times New Roman" w:cs="Times New Roman"/>
          <w:sz w:val="24"/>
          <w:szCs w:val="24"/>
          <w:lang w:val="hr-HR"/>
        </w:rPr>
        <w:t>.</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Komunalne usluge ostvarene su u iznosu od 1.204.743,62 kn koje su 2,46% manje od ostvarenja prethodnog razdoblja. Odnose se na iznošenje i odvoz smeća, na troškove deponiranja komunalnog otpada, na izdatke za sanaciju deponija, te na izdatke za ekološku rentu.</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 xml:space="preserve">- Ostali nespomenuti rashodi poslovanja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Ostali nespomenuti rashodi poslovanja planirani su u iznosu od 679.025,00 kn, a ostvareni su u iznosu od 721.775,58 kn ili 53,95% manje u odnosu na isto razdoblje 2021 godine, odnosno 6,30% više u odnosu na plan tekuće godine. U okviru ovih rashoda koji najvećim dijelom pripadaju Općini Seget i to u iznosu od 376.523,16 kn odnose se na naknade za rad predstavničkih i izvršnih tijela, povjerenstava.</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b/>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 xml:space="preserve">2.1.3. Financijski rashodi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Financijski rashodi su ostvareni u iznosu od 33.363,50 kn ili 73,55% manje od ostvarenja u usporednoj 2021. godini, a odnosno 44,94% manje u odnosu na planirana sredstva 2022 godine. </w:t>
      </w:r>
    </w:p>
    <w:p w:rsidR="003D2346" w:rsidRPr="003D2346" w:rsidRDefault="003D2346" w:rsidP="003D2346">
      <w:pPr>
        <w:spacing w:after="0" w:line="259" w:lineRule="auto"/>
        <w:jc w:val="both"/>
        <w:rPr>
          <w:rFonts w:ascii="Times New Roman" w:eastAsia="Calibri" w:hAnsi="Times New Roman" w:cs="Times New Roman"/>
          <w:b/>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2.1.4. Subvencije</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Subvencije trgovačkim društvima u javnom sektoru planirane su u iznosu 1.650.000,00 kn, a ostvarene su u iznosu od 1.478.734,08 ili 39,50% više u odnosu na usporednu 2021. godinu, odnosno za 10,38% manje od plana za tekuću godinu. Najveći iznos subvencija odnosi se na subvencioniranje nedostajućih prihoda javnom prijevozniku na području Općine Seget temeljem Ugovora s trgovačkim društvom Promet d.o.o. Ovi rashodi ne odnose se na proračunskog korisnika.</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2.1.5. Naknade građanima i kućanstvima na temelju osiguranja i druge naknade</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Naknade građanima i kućanstvima planirane su u iznosu od 2.487.300,00 kn, a ostvarene su u iznosu od 2.287.036,74 kn što je za 6,34 % manje nego u istom razdoblju prethodne godine odnosno 8.05% manje od plana za tekuću godinu. Odnose se na naknade koje isplaćuje Općina Seget u vidu pomoći obiteljima za novorođenu djecu, financiranje prijevoza invalidnih osoba preko udruge TOMS u iznosu od 120.000,02 kn, isplate naknade bolesnim i invalidnim osobama, isplate pomoći za osobnu invalidninu i dodatak za pomoć, isplate stipendije učenicima i studentima, podmirenje troškova stanovanja, podmirenje troškova ogrijeva, isplata prigodnog dara – bona - </w:t>
      </w:r>
      <w:proofErr w:type="spellStart"/>
      <w:r w:rsidRPr="003D2346">
        <w:rPr>
          <w:rFonts w:ascii="Times New Roman" w:eastAsia="Calibri" w:hAnsi="Times New Roman" w:cs="Times New Roman"/>
          <w:sz w:val="24"/>
          <w:szCs w:val="24"/>
          <w:lang w:val="hr-HR"/>
        </w:rPr>
        <w:t>Uskrsnice</w:t>
      </w:r>
      <w:proofErr w:type="spellEnd"/>
      <w:r w:rsidRPr="003D2346">
        <w:rPr>
          <w:rFonts w:ascii="Times New Roman" w:eastAsia="Calibri" w:hAnsi="Times New Roman" w:cs="Times New Roman"/>
          <w:sz w:val="24"/>
          <w:szCs w:val="24"/>
          <w:lang w:val="hr-HR"/>
        </w:rPr>
        <w:t xml:space="preserve"> i božićnice nezaposlenima, umirovljenicima i socijalnim slučajevima, sufinanciranje prijevoza opskrbe pitkom vodom zagorskog dijela općine. Ovi rashodi ne odnose se na proračunskog korisnika.</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Naknade građanima i kućanstvima u novcu realizirane su u iznosu od 1.009.090,00 kn, a naknade građanima i kućanstvima u naravi realizirane su u iznosu od 1.277.946,74 kn.</w:t>
      </w:r>
    </w:p>
    <w:p w:rsidR="003D2346" w:rsidRPr="003D2346" w:rsidRDefault="003D2346" w:rsidP="003D2346">
      <w:pPr>
        <w:spacing w:after="0" w:line="240" w:lineRule="auto"/>
        <w:jc w:val="both"/>
        <w:rPr>
          <w:rFonts w:ascii="Times New Roman" w:eastAsia="Calibri" w:hAnsi="Times New Roman" w:cs="Times New Roman"/>
          <w:sz w:val="24"/>
          <w:szCs w:val="24"/>
          <w:u w:val="single"/>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 xml:space="preserve">2.1.6. Ostali rashodi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Ostali rashodi (tekuće i kapitalne donacije) planirani su u iznosu od 2.552.500,00 kn, a ostvareni su u iznosu od 2.283.575,93 kn, što je za 1,85% manje od ostvarenja u istom izvještajnom razdoblju prethodne godine, odnosno 10,54% manje od plana za 2022 godinu.</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Najveći dio ostalih rashoda odnosi se na donacije, od čega je iznos od 2.118.229,41 realiziran za tekuće donacije u novcu, dok se iznos od 1.580,00 kn odnosi na realizaciju kapitalnih donacije neprofitnim organizacijama.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Kapitalne pomoći planirane su u iznosu od 165.000,00 kn a realizirane u iznosu od 163.7766,52 kn.</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Najveći dio realizacije odnosi se na tekuće donacije za DVD Seget Vranjica, donacije vjerskim zajednicama, sufinanciranje hitne medicinske pomoći u ljetnim mjesecima, redovito financiranje političkim strankama, sufinanciranje GD Crvenog križa, sufinanciranje HGSS-a, sufinanciranje programa i projekata udruzi TOMS te sufinanciranje udruga u iznosu od i donacije učenicima osnovne škole Kralja Zvonimira radnog materijala i bilježnica i ostalih pomoći. Ovi rashodi ne odnos se na proračunskog korisnika.</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2.2. RASHODI ZA NABAVU NEFINANCIJSKE IMOVINE</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Ova vrsta rashoda u izvještajnom razdoblju 2022. godine planirana je u iznosu od 6.362.465,93 kn, a  ostvarena je u iznosu od 3.435.089,36 kn, što je 46,015 manje od planiranog za tekuću godinu, a 67,35% manje u odnosu na iste rashode iz prethodnog  razdoblja za 2021. godinu. Na rashode Općine Seget odnosi se cjelokupan realiziran iznos.</w:t>
      </w:r>
    </w:p>
    <w:p w:rsidR="003D2346" w:rsidRPr="003D2346" w:rsidRDefault="003D2346" w:rsidP="003D2346">
      <w:pPr>
        <w:spacing w:after="0" w:line="240" w:lineRule="auto"/>
        <w:jc w:val="both"/>
        <w:rPr>
          <w:rFonts w:ascii="Times New Roman" w:eastAsia="Calibri" w:hAnsi="Times New Roman" w:cs="Times New Roman"/>
          <w:b/>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 xml:space="preserve">2.2.1. Rashodi za nabavu </w:t>
      </w:r>
      <w:proofErr w:type="spellStart"/>
      <w:r w:rsidRPr="003D2346">
        <w:rPr>
          <w:rFonts w:ascii="Cambria" w:eastAsia="Times New Roman" w:hAnsi="Cambria" w:cs="Times New Roman"/>
          <w:i/>
          <w:iCs/>
          <w:color w:val="365F91"/>
          <w:sz w:val="24"/>
          <w:lang w:val="hr-HR"/>
        </w:rPr>
        <w:t>neproizvedene</w:t>
      </w:r>
      <w:proofErr w:type="spellEnd"/>
      <w:r w:rsidRPr="003D2346">
        <w:rPr>
          <w:rFonts w:ascii="Cambria" w:eastAsia="Times New Roman" w:hAnsi="Cambria" w:cs="Times New Roman"/>
          <w:i/>
          <w:iCs/>
          <w:color w:val="365F91"/>
          <w:sz w:val="24"/>
          <w:lang w:val="hr-HR"/>
        </w:rPr>
        <w:t xml:space="preserve"> dugotrajne imovine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Navedeni rashodi bilježe ostvarenje od 97.500,00 kn, odnosno 44,37% godišnjeg plana i za  85,83% manji su u odnosu na isto razdoblje 2021. godine.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Rashodi za nabavu </w:t>
      </w:r>
      <w:proofErr w:type="spellStart"/>
      <w:r w:rsidRPr="003D2346">
        <w:rPr>
          <w:rFonts w:ascii="Times New Roman" w:eastAsia="Calibri" w:hAnsi="Times New Roman" w:cs="Times New Roman"/>
          <w:sz w:val="24"/>
          <w:szCs w:val="24"/>
          <w:lang w:val="hr-HR"/>
        </w:rPr>
        <w:t>neproizvedene</w:t>
      </w:r>
      <w:proofErr w:type="spellEnd"/>
      <w:r w:rsidRPr="003D2346">
        <w:rPr>
          <w:rFonts w:ascii="Times New Roman" w:eastAsia="Calibri" w:hAnsi="Times New Roman" w:cs="Times New Roman"/>
          <w:sz w:val="24"/>
          <w:szCs w:val="24"/>
          <w:lang w:val="hr-HR"/>
        </w:rPr>
        <w:t xml:space="preserve"> dugotrajne imovine - izdaci ostala nematerijalna imovina u izvještajnom razdoblju 2022. godine odnosi se na izradu Izmjena i dopuna prostornog plana Općine Seget.</w:t>
      </w:r>
    </w:p>
    <w:p w:rsidR="003D2346" w:rsidRPr="003D2346" w:rsidRDefault="003D2346" w:rsidP="003D2346">
      <w:pPr>
        <w:spacing w:after="0" w:line="240" w:lineRule="auto"/>
        <w:jc w:val="both"/>
        <w:rPr>
          <w:rFonts w:ascii="Times New Roman" w:eastAsia="Calibri" w:hAnsi="Times New Roman" w:cs="Times New Roman"/>
          <w:b/>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2.2.2. Rashodi za nabavu proizvedene dugotrajne imovine</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Navedeni rashodi planirani su u iznosu od 6.187.215,93 kn bilježe ostvarenje od 3.337.589,36 kn, odnosno, 46,04% od godišnjeg plana i za  65,99% manji u odnosu na realizaciju za 2021. godinu.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b/>
          <w:bCs/>
          <w:sz w:val="24"/>
          <w:szCs w:val="24"/>
          <w:lang w:val="hr-HR"/>
        </w:rPr>
        <w:t>Poslovni objekti</w:t>
      </w:r>
      <w:r w:rsidRPr="003D2346">
        <w:rPr>
          <w:rFonts w:ascii="Times New Roman" w:eastAsia="Calibri" w:hAnsi="Times New Roman" w:cs="Times New Roman"/>
          <w:sz w:val="24"/>
          <w:szCs w:val="24"/>
          <w:lang w:val="hr-HR"/>
        </w:rPr>
        <w:t xml:space="preserve"> - ovi rashodi realizirani su u iznosu od 1.726.039,36 kn, rashodi za ceste i ostale prometne objekte ostvareni su u iznosu od 332.500,00 kn a rashodi za ostale građevinske objekte ostvareni su u iznosu za 692.500,00 kn.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b/>
          <w:bCs/>
          <w:sz w:val="24"/>
          <w:szCs w:val="24"/>
          <w:lang w:val="hr-HR"/>
        </w:rPr>
        <w:t>Rashodi za građevinske objekte</w:t>
      </w:r>
      <w:r w:rsidRPr="003D2346">
        <w:rPr>
          <w:rFonts w:ascii="Times New Roman" w:eastAsia="Calibri" w:hAnsi="Times New Roman" w:cs="Times New Roman"/>
          <w:sz w:val="24"/>
          <w:szCs w:val="24"/>
          <w:lang w:val="hr-HR"/>
        </w:rPr>
        <w:t xml:space="preserve"> ukupno su planirani u iznosu od 5.508.065,93 kn, a realizirani u iznosu od 2.751.039,36 kn što je 50,05% manje od plana za tekuću godinu odnosno za 71,56% manje u odnosu na 2021. godinu i u cijelosti odnose se na Općinu Seget, a odnose se najvećim dijelom na izgradnju novog dječjeg vrtića Ružica u Seget Vranjici i na izradu završetka projektne dokumentacije dogradnje Osnovne škole Kralja Zvonimira i izgradnje školske športske dvorane.</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b/>
          <w:bCs/>
          <w:sz w:val="24"/>
          <w:szCs w:val="24"/>
          <w:lang w:val="hr-HR"/>
        </w:rPr>
        <w:t>Ceste</w:t>
      </w:r>
      <w:r w:rsidRPr="003D2346">
        <w:rPr>
          <w:rFonts w:ascii="Times New Roman" w:eastAsia="Calibri" w:hAnsi="Times New Roman" w:cs="Times New Roman"/>
          <w:sz w:val="24"/>
          <w:szCs w:val="24"/>
          <w:lang w:val="hr-HR"/>
        </w:rPr>
        <w:t xml:space="preserve"> – ovi rashodi odnose se na dovršetak projektne dokumentacije za priključak naselja </w:t>
      </w:r>
      <w:proofErr w:type="spellStart"/>
      <w:r w:rsidRPr="003D2346">
        <w:rPr>
          <w:rFonts w:ascii="Times New Roman" w:eastAsia="Calibri" w:hAnsi="Times New Roman" w:cs="Times New Roman"/>
          <w:sz w:val="24"/>
          <w:szCs w:val="24"/>
          <w:lang w:val="hr-HR"/>
        </w:rPr>
        <w:t>Jarebinac</w:t>
      </w:r>
      <w:proofErr w:type="spellEnd"/>
      <w:r w:rsidRPr="003D2346">
        <w:rPr>
          <w:rFonts w:ascii="Times New Roman" w:eastAsia="Calibri" w:hAnsi="Times New Roman" w:cs="Times New Roman"/>
          <w:sz w:val="24"/>
          <w:szCs w:val="24"/>
          <w:lang w:val="hr-HR"/>
        </w:rPr>
        <w:t xml:space="preserve"> na D8 i izgradnju rotora u Seget Vranjici na spoju DC-8 i ŽC 6133, na izradu projektne dokumentacije izgradnje nove ceste Elezi – Jajići u </w:t>
      </w:r>
      <w:proofErr w:type="spellStart"/>
      <w:r w:rsidRPr="003D2346">
        <w:rPr>
          <w:rFonts w:ascii="Times New Roman" w:eastAsia="Calibri" w:hAnsi="Times New Roman" w:cs="Times New Roman"/>
          <w:sz w:val="24"/>
          <w:szCs w:val="24"/>
          <w:lang w:val="hr-HR"/>
        </w:rPr>
        <w:t>Bristivici</w:t>
      </w:r>
      <w:proofErr w:type="spellEnd"/>
      <w:r w:rsidRPr="003D2346">
        <w:rPr>
          <w:rFonts w:ascii="Times New Roman" w:eastAsia="Calibri" w:hAnsi="Times New Roman" w:cs="Times New Roman"/>
          <w:sz w:val="24"/>
          <w:szCs w:val="24"/>
          <w:lang w:val="hr-HR"/>
        </w:rPr>
        <w:t xml:space="preserve">.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Rashodi za ostale građevinske objekte odnose se na sufinanciranje projekta uređenja županijske ceste ŽC 6133 u dijelu izgradnje nove javne rasvjete.</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b/>
          <w:bCs/>
          <w:iCs/>
          <w:sz w:val="24"/>
          <w:szCs w:val="24"/>
          <w:lang w:val="hr-HR"/>
        </w:rPr>
      </w:pPr>
      <w:r w:rsidRPr="003D2346">
        <w:rPr>
          <w:rFonts w:ascii="Times New Roman" w:eastAsia="Calibri" w:hAnsi="Times New Roman" w:cs="Times New Roman"/>
          <w:b/>
          <w:bCs/>
          <w:iCs/>
          <w:sz w:val="24"/>
          <w:szCs w:val="24"/>
          <w:lang w:val="hr-HR"/>
        </w:rPr>
        <w:t xml:space="preserve">Postrojenja i oprema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Rashodi za postrojenja i opremu u 2022. godini planirani su u iznosu od 589.750,00 kn, a realizirani su u iznosu od 528.425,00 kn.  U odnosu na plan tekuće godine manji su za 10,40%, a u odnosu na isto razdoblje prethodne godine veći su 234,42%.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Izdaci se odnose na nabavu računalne opreme, spremnika za miješani komunalni otpad  i fekalni otpad, izdatke za nabavu led ekrana i za montažu nadstrešnica. Navedeni rashodi u cijelosti se odnosi na Općinu Seget.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keepNext/>
        <w:spacing w:after="0" w:line="240" w:lineRule="auto"/>
        <w:outlineLvl w:val="1"/>
        <w:rPr>
          <w:rFonts w:ascii="Times New Roman" w:eastAsia="Times New Roman" w:hAnsi="Times New Roman" w:cs="Times New Roman"/>
          <w:b/>
          <w:bCs/>
          <w:sz w:val="24"/>
          <w:szCs w:val="24"/>
          <w:lang w:val="hr-HR"/>
        </w:rPr>
      </w:pPr>
      <w:r w:rsidRPr="003D2346">
        <w:rPr>
          <w:rFonts w:ascii="Times New Roman" w:eastAsia="Times New Roman" w:hAnsi="Times New Roman" w:cs="Times New Roman"/>
          <w:b/>
          <w:bCs/>
          <w:sz w:val="24"/>
          <w:szCs w:val="24"/>
          <w:lang w:val="hr-HR"/>
        </w:rPr>
        <w:t>3) OBRAZLOŽENJE IZVRŠENJA PROGRAMA IZ POSEBNOG DIJELA</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spacing w:after="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Rashodi su u Posebnom dijelu proračuna podijeljeni su po organizacijskoj klasifikaciji, odnosno unutar Jedinstvenog upravnog odjela koji se sastoji više razdjela sa jednom ili više glava, te po programima koji se sastoji od aktivnosti odnosno projekata.</w:t>
      </w: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keepNext/>
        <w:keepLines/>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 xml:space="preserve">RAZDJEL 001 JEDINSTVENI UPRAVNI ODJEL </w:t>
      </w:r>
    </w:p>
    <w:p w:rsidR="003D2346" w:rsidRPr="003D2346" w:rsidRDefault="003D2346" w:rsidP="003D2346">
      <w:pPr>
        <w:spacing w:after="0" w:line="240" w:lineRule="auto"/>
        <w:rPr>
          <w:rFonts w:ascii="Times New Roman" w:eastAsia="Calibri" w:hAnsi="Times New Roman" w:cs="Times New Roman"/>
          <w:b/>
          <w:sz w:val="24"/>
          <w:szCs w:val="24"/>
          <w:lang w:val="hr-HR"/>
        </w:rPr>
      </w:pP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Za ostvarenje programa unutar Jedinstvenog upravnog odjela u Proračunu za 2022. godinu – Glava 00101 Jedinstveni upravni odjel planirana su sredstva u iznosu od 21.353.399,93 kn, a utrošeno je ukupno u 16.015.650,95 kn, odnosno 75,00% planiranog godišnjeg iznosa. Sredstva su utrošena za provedbu sljedećih programa:</w:t>
      </w:r>
    </w:p>
    <w:p w:rsidR="003D2346" w:rsidRPr="003D2346" w:rsidRDefault="003D2346" w:rsidP="003D2346">
      <w:pPr>
        <w:spacing w:after="0" w:line="240" w:lineRule="auto"/>
        <w:jc w:val="both"/>
        <w:rPr>
          <w:rFonts w:ascii="Times New Roman" w:eastAsia="Calibri" w:hAnsi="Times New Roman" w:cs="Times New Roman"/>
          <w:sz w:val="24"/>
          <w:szCs w:val="24"/>
          <w:u w:val="single"/>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 xml:space="preserve">Program 1101 Javna uprava i administracija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Program Javna uprava i administracija planiran je u iznosu 3.619.750,00 kn. U okviru ovog programa ostvaren je cilj funkcioniranja općinske uprave i njenih tijela, cjelokupna aktivnost odnosila se na Upravu i administraciju koja je realizirana u iznosu od 3.299.862,14 kn ili 91,16% na razini godišnjeg plana. Rashodi ovog programa odnose se na financiranje tekućih rashoda općinske uprave radi izvršavanja zakonom propisanih zadataka. U promatranom razdoblju 2022. godine za financiranje tekućih rashoda utrošeno  je: na plaće zaposlenih 1.672.637,45 kn, na doprinos na plaće 277.546,18 kn, na ostale rashode za zaposlene 342.616,73 kn, na naknade za prijevoz na posao i s posla iznos od 71.979,00 kn. Rashodi za usluge izvršeni su u iznosu 563.952,89 kn. Ostali nespomenuti rashodi poslovanja izvršeni su u iznosu 13.550,60 kn.</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 xml:space="preserve">Program 1000 Kapitalna ulaganja u komunalnu infrastrukturu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Program je planiran je u iznosu od 3.730.065,93 kn, a realiziran je u iznosu od 1.239.650,00 što iznosi 33,23% od godišnjeg plana. U okviru ovog programa čiji cilj obuhvaća izgradnju i uređenje komunalne infrastrukture, neki projekti su nižoj, a neki u višoj fazi realizacije, unutar aktivnosti izgradnja javnih površina nabavljene i postavljene su autobusne nadstrešnice u iznosu od 264.649,99 kn, unutar aktivnosti izgradnja nerazvrstanih cesta ishodovana je građevinska dozvola izgradnje ulazno izlazne trake naselja </w:t>
      </w:r>
      <w:proofErr w:type="spellStart"/>
      <w:r w:rsidRPr="003D2346">
        <w:rPr>
          <w:rFonts w:ascii="Times New Roman" w:eastAsia="Calibri" w:hAnsi="Times New Roman" w:cs="Times New Roman"/>
          <w:sz w:val="24"/>
          <w:szCs w:val="24"/>
          <w:lang w:val="hr-HR"/>
        </w:rPr>
        <w:t>Jarebinac</w:t>
      </w:r>
      <w:proofErr w:type="spellEnd"/>
      <w:r w:rsidRPr="003D2346">
        <w:rPr>
          <w:rFonts w:ascii="Times New Roman" w:eastAsia="Calibri" w:hAnsi="Times New Roman" w:cs="Times New Roman"/>
          <w:sz w:val="24"/>
          <w:szCs w:val="24"/>
          <w:lang w:val="hr-HR"/>
        </w:rPr>
        <w:t xml:space="preserve"> s pothodnikom u iznosu od 180.000,00 kn, dok je izgradnja rotora na spoju državne ceste D8 i županijske ceste ŽC 6133 u iznosu od 152.500,00 kn pred dobivanjem građevinske dozvole. Kapitalni projekt izgradnje lokalne ceste koji obuhvaća spajanje naselja Jajići – Elezi u </w:t>
      </w:r>
      <w:proofErr w:type="spellStart"/>
      <w:r w:rsidRPr="003D2346">
        <w:rPr>
          <w:rFonts w:ascii="Times New Roman" w:eastAsia="Calibri" w:hAnsi="Times New Roman" w:cs="Times New Roman"/>
          <w:sz w:val="24"/>
          <w:szCs w:val="24"/>
          <w:lang w:val="hr-HR"/>
        </w:rPr>
        <w:t>Bristivici</w:t>
      </w:r>
      <w:proofErr w:type="spellEnd"/>
      <w:r w:rsidRPr="003D2346">
        <w:rPr>
          <w:rFonts w:ascii="Times New Roman" w:eastAsia="Calibri" w:hAnsi="Times New Roman" w:cs="Times New Roman"/>
          <w:sz w:val="24"/>
          <w:szCs w:val="24"/>
          <w:lang w:val="hr-HR"/>
        </w:rPr>
        <w:t xml:space="preserve"> u postupku je izrade projektne dokumentacije i realiziran je u iznosu od 118.125,00 kn, unutar aktivnosti izgradnja javne rasvjete – izdaci u iznosu od 500.000,00 kn odnose se na sufinanciranje projekta uređenja županijske ceste ŽC 6133 u dijelu izgradnje nove javne rasvjete te projekt postave led rasvjete u iznosu od 24.375,00 kn.</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bookmarkStart w:id="5" w:name="_Hlk135693023"/>
      <w:r w:rsidRPr="003D2346">
        <w:rPr>
          <w:rFonts w:ascii="Cambria" w:eastAsia="Times New Roman" w:hAnsi="Cambria" w:cs="Times New Roman"/>
          <w:i/>
          <w:iCs/>
          <w:color w:val="365F91"/>
          <w:sz w:val="24"/>
          <w:lang w:val="hr-HR"/>
        </w:rPr>
        <w:t xml:space="preserve">Program 1001 Održavanje komunalne infrastrukture </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U okviru ovog programa koji obuhvaća održavanje komunalne infrastrukture u cilju funkcionalnog pružanja javne usluge, unutar aktivnosti čišćenje javnih površina čiji je osnovni cilj zaštita i održavanje okoliša i zdravlja građana te održavanje čistoće, na komunalne usluge za deponiranje komunalnog otpada utrošeno je 192.498,78 kn, na iznošenje i odvoz smeća 619.375,00 kn, na troškove sanacije deponija 110.290,50 kn,  te na poticajnu naknadu za miješani komunalni otpad 251.897,41 kn, dok na izdatke za ekološku rentu utrošeno je 231.610,05 kn te izdatke za vodu 19.951,24 kn i izdatke za zbrinjavanje lešina i životinja 20.250,00 kn. Na aktivnost održavanje javnih i zelenih površina utrošeno je 66.776,18 kn, a odnosi se na uređenje javne površine te sadnju ukrasnog bilja. Na aktivnost održavanje nerazvrstanih cesta utrošeno je 13.700,00 kn, dok je na aktivnost održavanja groblja za ugovor o djelu utrošeno 51.958,32 kn i na specijalno odrezivanje čempresa na groblju Gospe od </w:t>
      </w:r>
      <w:proofErr w:type="spellStart"/>
      <w:r w:rsidRPr="003D2346">
        <w:rPr>
          <w:rFonts w:ascii="Times New Roman" w:eastAsia="Calibri" w:hAnsi="Times New Roman" w:cs="Times New Roman"/>
          <w:sz w:val="24"/>
          <w:szCs w:val="24"/>
          <w:lang w:val="hr-HR"/>
        </w:rPr>
        <w:t>Konacvina</w:t>
      </w:r>
      <w:proofErr w:type="spellEnd"/>
      <w:r w:rsidRPr="003D2346">
        <w:rPr>
          <w:rFonts w:ascii="Times New Roman" w:eastAsia="Calibri" w:hAnsi="Times New Roman" w:cs="Times New Roman"/>
          <w:sz w:val="24"/>
          <w:szCs w:val="24"/>
          <w:lang w:val="hr-HR"/>
        </w:rPr>
        <w:t xml:space="preserve"> 10.000,00 kn. U okviru aktivnosti održavanje javne rasvjete najznačajniji je izdatak potrošnje električne energije u iznosu od 1.730.913,16 kn zbog porasta cijene energije na europskom tržištu, a dok se na održavanje javne rasvjete odnosi 528.896,27 kn te na izmještanje niskonaponske mreže u iznosu od 77.589,94  kn. U okviru tekućeg projekta održavanje pomorskog dobra utrošeno je 59.279,51 kn na uređenje i dohranjivanje plaža i na istraživanje podmorskog lokaliteta istočno od crkve Gospe od </w:t>
      </w:r>
      <w:proofErr w:type="spellStart"/>
      <w:r w:rsidRPr="003D2346">
        <w:rPr>
          <w:rFonts w:ascii="Times New Roman" w:eastAsia="Calibri" w:hAnsi="Times New Roman" w:cs="Times New Roman"/>
          <w:sz w:val="24"/>
          <w:szCs w:val="24"/>
          <w:lang w:val="hr-HR"/>
        </w:rPr>
        <w:t>Konacvina</w:t>
      </w:r>
      <w:proofErr w:type="spellEnd"/>
      <w:r w:rsidRPr="003D2346">
        <w:rPr>
          <w:rFonts w:ascii="Times New Roman" w:eastAsia="Calibri" w:hAnsi="Times New Roman" w:cs="Times New Roman"/>
          <w:sz w:val="24"/>
          <w:szCs w:val="24"/>
          <w:lang w:val="hr-HR"/>
        </w:rPr>
        <w:t xml:space="preserve"> u iznosu od 171.062,50 kn. </w:t>
      </w:r>
    </w:p>
    <w:bookmarkEnd w:id="5"/>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Program 1000 Nepokretna imovina</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U okviru ovog programa koji obuhvaća brigu o nepokretnoj imovini, unutar aktivnosti održavanja nepokretne imovine utrošeno je 266.902,10 kn ili 80,88% godišnjeg plana. Najznačajniji su izdaci za izradu parcelacijskih elaborata za provedbu dokumenata u svrhu dobivanja lokacijskih i građevinskih dozvola za rotor u Seget Vranjici i za prometno rješenje naselja </w:t>
      </w:r>
      <w:proofErr w:type="spellStart"/>
      <w:r w:rsidRPr="003D2346">
        <w:rPr>
          <w:rFonts w:ascii="Times New Roman" w:eastAsia="Calibri" w:hAnsi="Times New Roman" w:cs="Times New Roman"/>
          <w:sz w:val="24"/>
          <w:szCs w:val="24"/>
          <w:lang w:val="hr-HR"/>
        </w:rPr>
        <w:t>Jarebinac</w:t>
      </w:r>
      <w:proofErr w:type="spellEnd"/>
      <w:r w:rsidRPr="003D2346">
        <w:rPr>
          <w:rFonts w:ascii="Times New Roman" w:eastAsia="Calibri" w:hAnsi="Times New Roman" w:cs="Times New Roman"/>
          <w:sz w:val="24"/>
          <w:szCs w:val="24"/>
          <w:lang w:val="hr-HR"/>
        </w:rPr>
        <w:t xml:space="preserve"> utrošeno je 165.000,00 kn, te iznos od 25.000,00 kn u svrhu pregleda geodetskih elaborata prilikom usklađivanja imovinsko-pravnih odnosa.</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Program 1001 Oprema</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okviru ovog programa kojoj je cilj funkcionalnosti opreme utrošeno je 371.406,07 kn ili 72,82% od godišnjeg plana. Unutar aktivnosti održavanje opreme i pokretne imovine utrošeno je 222.662,32 kn ili 85,64% godišnjeg plana. Na najznačajnije izdatke utrošeno je 67.498,19 kn na imovinu male vrijednosti koja se knjigovodstveno 100% ispravlja, na održavanje softwarea 112.137,00 kn, na održavanje hardwarea 30.235,00 kn, te na premije osiguranja i registracije općinskog automobila 6.840,14 kn. Unutar aktivnosti ulaganje u opremu i pokretnu imovinu utrošeno je 148.743,75 kn od čega 15.760,00 kn na nabavu računala, na nabavu računalnih programa 48.750,00 kn te 18.140,00 kn na nabavu spremnika za fekalni otpad i 66.093,75 kn na nabavu i postavljanje led ekrana na javnoj površini.</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 xml:space="preserve">Programi 1001 Protupožarna zaštita i 1002 Civilna zaštita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U okviru ovog programa Protupožarna zaštita čija je osnovna funkcija cjelovito osiguranje sustava protupožarne i civilne zaštite, unutar aktivnosti operativni program protupožarne zaštite osiguravaju se sredstva za redovnu djelatnost te posebice za primjenu i provedbu mjera zaštite od požara u ljetnoj sezoni Dobrovoljnom vatrogasnom društvu „Seget Vranjica“  a za koje je utrošeno 191.476,89 kn ili 96,18% godišnjeg plana. Unutar programa Civilna zaštita utrošeno je 1.397,64 kn ili 75,22% godišnjeg plana na donacije za aktivnosti i opremu PP Trogir.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Program 1001 Gospodarstvo i razvoj zajednice</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Program Gospodarstvo i razvoj zajednice kojemu je cilj razvoj uže i šire zajednice realiziran je u iznosu od 1.976.931,06 kn ili 78,94% godišnjeg plana. Unutar aktivnosti Gospodarstvo i razvoj zajednice utrošeno je 73.149,21 kn za postavljanje </w:t>
      </w:r>
      <w:proofErr w:type="spellStart"/>
      <w:r w:rsidRPr="003D2346">
        <w:rPr>
          <w:rFonts w:ascii="Times New Roman" w:eastAsia="Calibri" w:hAnsi="Times New Roman" w:cs="Times New Roman"/>
          <w:sz w:val="24"/>
          <w:szCs w:val="24"/>
          <w:lang w:val="hr-HR"/>
        </w:rPr>
        <w:t>wifi</w:t>
      </w:r>
      <w:proofErr w:type="spellEnd"/>
      <w:r w:rsidRPr="003D2346">
        <w:rPr>
          <w:rFonts w:ascii="Times New Roman" w:eastAsia="Calibri" w:hAnsi="Times New Roman" w:cs="Times New Roman"/>
          <w:sz w:val="24"/>
          <w:szCs w:val="24"/>
          <w:lang w:val="hr-HR"/>
        </w:rPr>
        <w:t xml:space="preserve"> mreže i njeno održavanje, te realizaciju provedbenog programa. Unutar aktivnosti ulaganje u javni prijevoz utrošeno je 1.478.734,08 kn za pokriće nedostajućih prihoda javnom prijevozniku „Promet“ d.o.o. za odvijanje javnog komunalnog prijevoza na području Općine Seget, dok je u okviru aktivnosti čista zajednica utrošeno 29.406,25 kn na nabavu spremnika za komunalni otpad i 134.375,00 kn na nabavu spremnika za miješani komunalni otpad. Aktivnost Izrada prostorno-planske dokumentacije realizirana je u iznosu 97.500,00 kn za izmjene i dopune prostornog plana Općine Seget.</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Program 1002 Obrazovanje</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Program Obrazovanje kojemu je cilj davanje potpora učenicima i studentima, realiziran je u iznosu od 609.647,86 kn ili 87,09% godišnjeg plana. Aktivnost ulaganje u obrazovanje ostvarena je u vidu tekuće donacije OŠ Kralja Zvonimira u Segetu Donjem u iznosu od 36.252,03 kn. Unutar aktivnosti potpore učenicima, rashodi u iznosu od 160.000,00 kn odnose se na pomoći obiteljima u vidu stipendiranja učenika i studenata, iznos od 207.989,83 kn na donacije učenicima radnih bilježnica i ostalog radnog materijala, dok je na kapitalni projekt dogradnje Osnovne škole Kralja Zvonimira u Segetu Donjem s izgradnjom školske športske dvorane u cilju dobivanja lokacijske i građevinske dozvole utrošeno je 186.250,00 kn.</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Program 1001 Glazbeno scenska djelatnosti</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okviru ove aktivnosti realiziran je iznos od 10.000,00 kn za kulturno-umjetničku udrugu.</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Program 1002 Očuvanje sakralne kulture</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okviru ovog programa Očuvanja sakralne kulture kojemu je cilj briga o sakralnoj kulturnoj baštini, unutar aktivnosti očuvanje sakralne kulture utrošeno je 28.745,00 kn na donacije župnim uredima u provođenju vjerskih aktivnosti.</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Program 1001 Socijalne pomoći</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eastAsia="hr-HR"/>
        </w:rPr>
      </w:pPr>
      <w:r w:rsidRPr="003D2346">
        <w:rPr>
          <w:rFonts w:ascii="Times New Roman" w:eastAsia="Times New Roman" w:hAnsi="Times New Roman" w:cs="Times New Roman"/>
          <w:sz w:val="24"/>
          <w:szCs w:val="24"/>
          <w:lang w:val="hr-HR"/>
        </w:rPr>
        <w:t xml:space="preserve">U okviru ovog programa Socijalne pomoći definirane su aktivnosti kojima je cilj pomoći  najugroženijim skupinama građana, a utrošeno je 1.284.892,66 kn ili 90,44% na godišnjoj razini. Unutar aktivnosti sufinanciranje troškova stanovanja i novčana potpora utrošeno je 364.800,00 kn za pomoć za osobnu invalidnost, doplatak za pomoć i njegu i naknadu do zaposlenja te 75.540,00 kn za podmirivanje troškova stanovanja. U okviru aktivnosti sufinanciranje bolesnih, invalida i socijalnih slučajeva </w:t>
      </w:r>
      <w:r w:rsidRPr="003D2346">
        <w:rPr>
          <w:rFonts w:ascii="Times New Roman" w:eastAsia="Times New Roman" w:hAnsi="Times New Roman" w:cs="Times New Roman"/>
          <w:sz w:val="24"/>
          <w:szCs w:val="24"/>
          <w:lang w:val="hr-HR" w:eastAsia="hr-HR"/>
        </w:rPr>
        <w:t xml:space="preserve">realiziran je poklon bon umirovljenicima, nezaposlenim osobama te socijalnim slučajevima za </w:t>
      </w:r>
      <w:proofErr w:type="spellStart"/>
      <w:r w:rsidRPr="003D2346">
        <w:rPr>
          <w:rFonts w:ascii="Times New Roman" w:eastAsia="Times New Roman" w:hAnsi="Times New Roman" w:cs="Times New Roman"/>
          <w:sz w:val="24"/>
          <w:szCs w:val="24"/>
          <w:lang w:val="hr-HR" w:eastAsia="hr-HR"/>
        </w:rPr>
        <w:t>Uskrsnicu</w:t>
      </w:r>
      <w:proofErr w:type="spellEnd"/>
      <w:r w:rsidRPr="003D2346">
        <w:rPr>
          <w:rFonts w:ascii="Times New Roman" w:eastAsia="Times New Roman" w:hAnsi="Times New Roman" w:cs="Times New Roman"/>
          <w:sz w:val="24"/>
          <w:szCs w:val="24"/>
          <w:lang w:val="hr-HR" w:eastAsia="hr-HR"/>
        </w:rPr>
        <w:t xml:space="preserve"> 160.697,60 kn te za Božićnicu 209.913,60 kn, </w:t>
      </w:r>
      <w:r w:rsidRPr="003D2346">
        <w:rPr>
          <w:rFonts w:ascii="Times New Roman" w:eastAsia="Times New Roman" w:hAnsi="Times New Roman" w:cs="Times New Roman"/>
          <w:sz w:val="24"/>
          <w:szCs w:val="24"/>
          <w:lang w:val="hr-HR"/>
        </w:rPr>
        <w:t xml:space="preserve">na prijevoz invalidne djece u Centar Juraj </w:t>
      </w:r>
      <w:proofErr w:type="spellStart"/>
      <w:r w:rsidRPr="003D2346">
        <w:rPr>
          <w:rFonts w:ascii="Times New Roman" w:eastAsia="Times New Roman" w:hAnsi="Times New Roman" w:cs="Times New Roman"/>
          <w:sz w:val="24"/>
          <w:szCs w:val="24"/>
          <w:lang w:val="hr-HR"/>
        </w:rPr>
        <w:t>Bonači</w:t>
      </w:r>
      <w:proofErr w:type="spellEnd"/>
      <w:r w:rsidRPr="003D2346">
        <w:rPr>
          <w:rFonts w:ascii="Times New Roman" w:eastAsia="Times New Roman" w:hAnsi="Times New Roman" w:cs="Times New Roman"/>
          <w:sz w:val="24"/>
          <w:szCs w:val="24"/>
          <w:lang w:val="hr-HR"/>
        </w:rPr>
        <w:t xml:space="preserve"> 120.000,00 kn, te </w:t>
      </w:r>
      <w:r w:rsidRPr="003D2346">
        <w:rPr>
          <w:rFonts w:ascii="Times New Roman" w:eastAsia="Times New Roman" w:hAnsi="Times New Roman" w:cs="Times New Roman"/>
          <w:sz w:val="24"/>
          <w:szCs w:val="24"/>
          <w:lang w:val="hr-HR" w:eastAsia="hr-HR"/>
        </w:rPr>
        <w:t xml:space="preserve">naknade bolesnim, invalidnim i socijalnim slučajevima 179.500,00 kn. Potpora obiteljima za novorođenu djecu realizirana je u iznosu od 83.000,00 kn. </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eastAsia="hr-HR"/>
        </w:rPr>
      </w:pPr>
      <w:r w:rsidRPr="003D2346">
        <w:rPr>
          <w:rFonts w:ascii="Times New Roman" w:eastAsia="Times New Roman" w:hAnsi="Times New Roman" w:cs="Times New Roman"/>
          <w:sz w:val="24"/>
          <w:szCs w:val="24"/>
          <w:lang w:val="hr-HR" w:eastAsia="hr-HR"/>
        </w:rPr>
        <w:t>Tekući projekt – Javni radovi realiziran je u iznosu od 50.071,46 kn za plaće zaposlenih u suradnji sa Hrvatskim zavodom za zapošljavanje.</w:t>
      </w:r>
    </w:p>
    <w:p w:rsidR="003D2346" w:rsidRPr="003D2346" w:rsidRDefault="003D2346" w:rsidP="003D2346">
      <w:pPr>
        <w:spacing w:after="160" w:line="259" w:lineRule="auto"/>
        <w:rPr>
          <w:rFonts w:ascii="Calibri" w:eastAsia="Calibri" w:hAnsi="Calibri" w:cs="Times New Roman"/>
          <w:lang w:val="hr-HR" w:eastAsia="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Program 1003 Potpore građanima, udrugama, strankama</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okviru ovog programa potpore građanima, udrugama, strankama realizirano je 1.180.100,07 kn ili 92,05% godišnjeg plana, kojemu je cilj potpora širokom spektru organiziranosti građana i javnih institucija, unutar aktivnosti sufinanciranje branitelja, obitelji poginulih, udruga i spomen obilježja donirano je udrugama 114.420,54 kn, unutar aktivnosti sufinanciranje opskrbe pitkom vodom utrošeno je 899.915,00 kn,  unutar aktivnosti sufinanciranje na temelju zakona najznačajniji je izdatak 26.000,00 kn na financiranje političkih stranaka, 81.333,28 kn na sufinanciranje Gradskog društva Crveni križ Trogir, te iznos od 35.000,00 kn na Hrvatsku gorsku službu spašavanja.</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3"/>
        <w:rPr>
          <w:rFonts w:ascii="Cambria" w:eastAsia="Times New Roman" w:hAnsi="Cambria" w:cs="Times New Roman"/>
          <w:i/>
          <w:iCs/>
          <w:color w:val="365F91"/>
          <w:sz w:val="24"/>
          <w:lang w:val="hr-HR"/>
        </w:rPr>
      </w:pPr>
      <w:r w:rsidRPr="003D2346">
        <w:rPr>
          <w:rFonts w:ascii="Cambria" w:eastAsia="Times New Roman" w:hAnsi="Cambria" w:cs="Times New Roman"/>
          <w:i/>
          <w:iCs/>
          <w:color w:val="365F91"/>
          <w:sz w:val="24"/>
          <w:lang w:val="hr-HR"/>
        </w:rPr>
        <w:t xml:space="preserve">Program 1001 Poslovne financije </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okviru ovog programa poslovne financije kojemu je osnovni cilj odvijanje platnog prometa, unutar aktivnosti financije većina je utrošena 27.741,54 kn na bankarske usluge i usluge platnog prometa.</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2"/>
        <w:rPr>
          <w:rFonts w:ascii="Cambria" w:eastAsia="Times New Roman" w:hAnsi="Cambria" w:cs="Times New Roman"/>
          <w:color w:val="243F60"/>
          <w:sz w:val="24"/>
          <w:szCs w:val="24"/>
          <w:lang w:val="hr-HR"/>
        </w:rPr>
      </w:pPr>
      <w:bookmarkStart w:id="6" w:name="_Hlk113298889"/>
      <w:r w:rsidRPr="003D2346">
        <w:rPr>
          <w:rFonts w:ascii="Cambria" w:eastAsia="Times New Roman" w:hAnsi="Cambria" w:cs="Times New Roman"/>
          <w:color w:val="243F60"/>
          <w:sz w:val="24"/>
          <w:szCs w:val="24"/>
          <w:lang w:val="hr-HR"/>
        </w:rPr>
        <w:t>RAZDJEL 002 OPĆINSKO VIJEĆE</w:t>
      </w:r>
    </w:p>
    <w:bookmarkEnd w:id="6"/>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Za ostvarenje programa unutar Općinskog vijeća u Proračunu za 2022. godinu – Glava 00201 Općinsko vijeće planirana su sredstva u iznosu od 200.000,00 kn, a utrošeno je ukupno u izvještajnom razdoblju 140.446,22 kn, odnosno 70,22% planiranog godišnjeg iznosa. Sredstva su utrošena za provedbu sljedećeg programa:</w:t>
      </w:r>
    </w:p>
    <w:p w:rsidR="003D2346" w:rsidRPr="003D2346" w:rsidRDefault="003D2346" w:rsidP="003D2346">
      <w:pPr>
        <w:spacing w:after="0" w:line="240" w:lineRule="auto"/>
        <w:rPr>
          <w:rFonts w:ascii="Times New Roman" w:eastAsia="Calibri" w:hAnsi="Times New Roman" w:cs="Times New Roman"/>
          <w:b/>
          <w:sz w:val="24"/>
          <w:szCs w:val="24"/>
          <w:lang w:val="hr-HR"/>
        </w:rPr>
      </w:pPr>
    </w:p>
    <w:p w:rsidR="003D2346" w:rsidRPr="003D2346" w:rsidRDefault="003D2346" w:rsidP="003D2346">
      <w:pPr>
        <w:spacing w:after="0" w:line="240" w:lineRule="auto"/>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Program 1002 Zakonodavno tijelo </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okviru ovog programa Zakonodavno tijelo, Općinsko vijeće predstavničko je tijelo građana i tijelo lokalne samouprave koje donosi akte u okviru prava i dužnosti Općine kao jedinice lokalne samouprave kojemu je cilj osiguravanje zakonodavne vlasti. Unutar aktivnosti općinsko vijeće utrošeno je 116.457,12 kn na naknadu za rad članovima predstavničkog tijela te za prigodna događanja prilikom Dana općine 23.989,10 kn.</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keepLines/>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 xml:space="preserve">RAZDJEL 003 OPĆINSKI NAČELNIK </w:t>
      </w:r>
    </w:p>
    <w:p w:rsidR="003D2346" w:rsidRPr="003D2346" w:rsidRDefault="003D2346" w:rsidP="003D2346">
      <w:pPr>
        <w:spacing w:after="0" w:line="240"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Za ostvarenje programa unutar Općinski načelnik u Proračunu za 2022. godinu – Glava 00301 Općinski načelnik planirana su sredstva u iznosu od 50.648,97 kn, a utrošeno je ukupno u izvještajnom razdoblju 40.210,07 kn, odnosno 78,92% planiranog godišnjeg iznosa. Sredstva su utrošena za provedbu sljedećeg programa:</w:t>
      </w:r>
    </w:p>
    <w:p w:rsidR="003D2346" w:rsidRPr="003D2346" w:rsidRDefault="003D2346" w:rsidP="003D2346">
      <w:pPr>
        <w:spacing w:after="0" w:line="240" w:lineRule="auto"/>
        <w:rPr>
          <w:rFonts w:ascii="Times New Roman" w:eastAsia="Calibri" w:hAnsi="Times New Roman" w:cs="Times New Roman"/>
          <w:b/>
          <w:sz w:val="24"/>
          <w:szCs w:val="24"/>
          <w:lang w:val="hr-HR"/>
        </w:rPr>
      </w:pPr>
    </w:p>
    <w:p w:rsidR="003D2346" w:rsidRPr="003D2346" w:rsidRDefault="003D2346" w:rsidP="003D2346">
      <w:pPr>
        <w:spacing w:after="0" w:line="240" w:lineRule="auto"/>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Program 1002 Izvršno tijelo </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U okviru ovog programa Izvršno tijelo, Općinski načelnik je nositelj izvršne vlasti Općine kojemu je cilj da vodi lokalnu samoupravu u cilju donošenja akata u okviru prava i dužnosti,  a sve u funkciji ispunjavanja i realiziranja potreba uže i šire zajednice. Unutar aktivnosti općinski načelnik utrošeno je 26.157,24 kn na naknadu za rad članova povjerenstava, te 8.290 kn za troškove reprezentacije, 4.147,59 kn na nabavu božićnih jelki i 1.614,26 kn za cvijeće i svijeće poginulim hrvatskim braniteljima i drugim prigodnim situacijama .</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keepNext/>
        <w:numPr>
          <w:ilvl w:val="0"/>
          <w:numId w:val="4"/>
        </w:numPr>
        <w:spacing w:after="0" w:line="240" w:lineRule="auto"/>
        <w:outlineLvl w:val="1"/>
        <w:rPr>
          <w:rFonts w:ascii="Times New Roman" w:eastAsia="Times New Roman" w:hAnsi="Times New Roman" w:cs="Times New Roman"/>
          <w:b/>
          <w:bCs/>
          <w:sz w:val="24"/>
          <w:szCs w:val="24"/>
          <w:lang w:val="hr-HR"/>
        </w:rPr>
      </w:pPr>
      <w:r w:rsidRPr="003D2346">
        <w:rPr>
          <w:rFonts w:ascii="Times New Roman" w:eastAsia="Times New Roman" w:hAnsi="Times New Roman" w:cs="Times New Roman"/>
          <w:b/>
          <w:bCs/>
          <w:sz w:val="24"/>
          <w:szCs w:val="24"/>
          <w:lang w:val="hr-HR"/>
        </w:rPr>
        <w:t>PRORAČUNSKI KORISNIK</w:t>
      </w:r>
    </w:p>
    <w:p w:rsidR="003D2346" w:rsidRPr="003D2346" w:rsidRDefault="003D2346" w:rsidP="003D2346">
      <w:pPr>
        <w:spacing w:after="0" w:line="259" w:lineRule="auto"/>
        <w:jc w:val="both"/>
        <w:rPr>
          <w:rFonts w:ascii="Times New Roman" w:eastAsia="Calibri" w:hAnsi="Times New Roman" w:cs="Times New Roman"/>
          <w:sz w:val="24"/>
          <w:szCs w:val="24"/>
          <w:lang w:val="hr-HR"/>
        </w:rPr>
      </w:pPr>
    </w:p>
    <w:p w:rsidR="003D2346" w:rsidRPr="003D2346" w:rsidRDefault="003D2346" w:rsidP="003D2346">
      <w:pPr>
        <w:spacing w:after="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Dječji vrtić Seget je predškolska javna ustanova. Cilj odgojno-obrazovne aktivnosti definiran je u Deklaraciji o pravima djeteta u kojoj piše: „Čovječanstvo duguje djetetu sve najbolje što može dati.“ Aktivnost  vrtića je ostvarenje programa odgoja, obrazovanja, zdravstvene zaštite, prehrane i socijalne skrbi djece rane i predškolske dobi koja se ostvaruje kroz odgojne skupine,  6-satnih programa i 10-satnih programa. Osnivač vrtić je Općina Seget. Djelatnost se odvijala matičnom vrtićkom objektu „Ružica“ i u područnom vrtićkom objektu „Tratinčica“. U nastavku je predočen opći i posebni dio proračuna DV „Seget“ s proračunskim klasifikacijama:</w:t>
      </w: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keepNext/>
        <w:keepLines/>
        <w:spacing w:before="40" w:after="0" w:line="259" w:lineRule="auto"/>
        <w:outlineLvl w:val="2"/>
        <w:rPr>
          <w:rFonts w:ascii="Cambria" w:eastAsia="Times New Roman" w:hAnsi="Cambria" w:cs="Times New Roman"/>
          <w:color w:val="243F60"/>
          <w:sz w:val="24"/>
          <w:szCs w:val="24"/>
          <w:lang w:val="hr-HR"/>
        </w:rPr>
      </w:pPr>
      <w:r w:rsidRPr="003D2346">
        <w:rPr>
          <w:rFonts w:ascii="Cambria" w:eastAsia="Times New Roman" w:hAnsi="Cambria" w:cs="Times New Roman"/>
          <w:color w:val="243F60"/>
          <w:sz w:val="24"/>
          <w:szCs w:val="24"/>
          <w:lang w:val="hr-HR"/>
        </w:rPr>
        <w:t>4.1. OPĆI DIO PRORAČUNA DV</w:t>
      </w:r>
    </w:p>
    <w:p w:rsidR="003D2346" w:rsidRPr="003D2346" w:rsidRDefault="003D2346" w:rsidP="003D2346">
      <w:pPr>
        <w:spacing w:after="160" w:line="259" w:lineRule="auto"/>
        <w:rPr>
          <w:rFonts w:ascii="Times New Roman" w:eastAsia="Calibri" w:hAnsi="Times New Roman" w:cs="Times New Roman"/>
          <w:sz w:val="24"/>
          <w:szCs w:val="24"/>
          <w:lang w:val="hr-HR"/>
        </w:rPr>
      </w:pPr>
    </w:p>
    <w:p w:rsidR="003D2346" w:rsidRPr="003D2346" w:rsidRDefault="003D2346" w:rsidP="003D2346">
      <w:pPr>
        <w:spacing w:after="160" w:line="259" w:lineRule="auto"/>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Godišnji izvještaj o izvršenju Proračuna Dječjeg vrtića ˝SEGET˝ za razdoblje I.-XII. 2022. godinu sadrži:</w:t>
      </w:r>
    </w:p>
    <w:p w:rsidR="003D2346" w:rsidRPr="003D2346" w:rsidRDefault="003D2346" w:rsidP="003D2346">
      <w:pPr>
        <w:spacing w:after="160" w:line="259" w:lineRule="auto"/>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SAŽETAK – A Račun prihoda i rashoda; B. Račun financiranja</w:t>
      </w:r>
    </w:p>
    <w:tbl>
      <w:tblPr>
        <w:tblW w:w="9292" w:type="dxa"/>
        <w:tblBorders>
          <w:top w:val="nil"/>
          <w:left w:val="nil"/>
          <w:bottom w:val="nil"/>
          <w:right w:val="nil"/>
        </w:tblBorders>
        <w:tblCellMar>
          <w:left w:w="0" w:type="dxa"/>
          <w:right w:w="0" w:type="dxa"/>
        </w:tblCellMar>
        <w:tblLook w:val="04A0" w:firstRow="1" w:lastRow="0" w:firstColumn="1" w:lastColumn="0" w:noHBand="0" w:noVBand="1"/>
      </w:tblPr>
      <w:tblGrid>
        <w:gridCol w:w="304"/>
        <w:gridCol w:w="3382"/>
        <w:gridCol w:w="1151"/>
        <w:gridCol w:w="725"/>
        <w:gridCol w:w="566"/>
        <w:gridCol w:w="840"/>
        <w:gridCol w:w="403"/>
        <w:gridCol w:w="868"/>
        <w:gridCol w:w="216"/>
        <w:gridCol w:w="776"/>
        <w:gridCol w:w="61"/>
      </w:tblGrid>
      <w:tr w:rsidR="003D2346" w:rsidRPr="003D2346" w:rsidTr="008D5134">
        <w:trPr>
          <w:trHeight w:val="35"/>
        </w:trPr>
        <w:tc>
          <w:tcPr>
            <w:tcW w:w="304" w:type="dxa"/>
            <w:tcBorders>
              <w:top w:val="nil"/>
              <w:left w:val="nil"/>
              <w:bottom w:val="nil"/>
              <w:right w:val="nil"/>
            </w:tcBorders>
            <w:tcMar>
              <w:top w:w="39" w:type="dxa"/>
              <w:left w:w="39" w:type="dxa"/>
              <w:bottom w:w="39" w:type="dxa"/>
              <w:right w:w="39" w:type="dxa"/>
            </w:tcMar>
          </w:tcPr>
          <w:p w:rsidR="003D2346" w:rsidRPr="003D2346" w:rsidRDefault="003D2346" w:rsidP="003D2346">
            <w:pPr>
              <w:spacing w:after="0" w:line="240" w:lineRule="auto"/>
              <w:rPr>
                <w:rFonts w:ascii="Times New Roman" w:eastAsia="Times New Roman" w:hAnsi="Times New Roman" w:cs="Times New Roman"/>
                <w:sz w:val="20"/>
                <w:szCs w:val="20"/>
                <w:lang w:val="hr-HR" w:eastAsia="hr-HR"/>
              </w:rPr>
            </w:pPr>
            <w:r w:rsidRPr="003D2346">
              <w:rPr>
                <w:rFonts w:ascii="Times New Roman" w:eastAsia="Times New Roman" w:hAnsi="Times New Roman" w:cs="Times New Roman"/>
                <w:sz w:val="20"/>
                <w:szCs w:val="20"/>
                <w:lang w:val="hr-HR" w:eastAsia="hr-HR"/>
              </w:rPr>
              <w:t xml:space="preserve">    </w:t>
            </w:r>
          </w:p>
        </w:tc>
        <w:tc>
          <w:tcPr>
            <w:tcW w:w="5258" w:type="dxa"/>
            <w:gridSpan w:val="3"/>
            <w:tcBorders>
              <w:top w:val="nil"/>
              <w:left w:val="nil"/>
              <w:bottom w:val="nil"/>
              <w:right w:val="nil"/>
            </w:tcBorders>
            <w:tcMar>
              <w:top w:w="39" w:type="dxa"/>
              <w:left w:w="0" w:type="dxa"/>
              <w:bottom w:w="39" w:type="dxa"/>
              <w:right w:w="39" w:type="dxa"/>
            </w:tcMar>
          </w:tcPr>
          <w:p w:rsidR="003D2346" w:rsidRPr="003D2346" w:rsidRDefault="003D2346" w:rsidP="003D2346">
            <w:pPr>
              <w:spacing w:after="0" w:line="240" w:lineRule="auto"/>
              <w:rPr>
                <w:rFonts w:ascii="Times New Roman" w:eastAsia="Times New Roman" w:hAnsi="Times New Roman" w:cs="Times New Roman"/>
                <w:sz w:val="20"/>
                <w:szCs w:val="20"/>
                <w:lang w:val="hr-HR" w:eastAsia="hr-HR"/>
              </w:rPr>
            </w:pPr>
          </w:p>
        </w:tc>
        <w:tc>
          <w:tcPr>
            <w:tcW w:w="1406" w:type="dxa"/>
            <w:gridSpan w:val="2"/>
            <w:tcBorders>
              <w:top w:val="nil"/>
              <w:left w:val="nil"/>
              <w:bottom w:val="nil"/>
              <w:right w:val="nil"/>
            </w:tcBorders>
            <w:tcMar>
              <w:top w:w="39" w:type="dxa"/>
              <w:left w:w="39" w:type="dxa"/>
              <w:bottom w:w="39" w:type="dxa"/>
              <w:right w:w="39" w:type="dxa"/>
            </w:tcMar>
          </w:tcPr>
          <w:p w:rsidR="003D2346" w:rsidRPr="003D2346" w:rsidRDefault="003D2346" w:rsidP="003D2346">
            <w:pPr>
              <w:spacing w:after="0" w:line="240" w:lineRule="auto"/>
              <w:rPr>
                <w:rFonts w:ascii="Times New Roman" w:eastAsia="Times New Roman" w:hAnsi="Times New Roman" w:cs="Times New Roman"/>
                <w:sz w:val="20"/>
                <w:szCs w:val="20"/>
                <w:lang w:val="hr-HR" w:eastAsia="hr-HR"/>
              </w:rPr>
            </w:pPr>
          </w:p>
        </w:tc>
        <w:tc>
          <w:tcPr>
            <w:tcW w:w="1487" w:type="dxa"/>
            <w:gridSpan w:val="3"/>
            <w:tcBorders>
              <w:top w:val="nil"/>
              <w:left w:val="nil"/>
              <w:bottom w:val="nil"/>
              <w:right w:val="nil"/>
            </w:tcBorders>
            <w:tcMar>
              <w:top w:w="39" w:type="dxa"/>
              <w:left w:w="39" w:type="dxa"/>
              <w:bottom w:w="39" w:type="dxa"/>
              <w:right w:w="39" w:type="dxa"/>
            </w:tcMar>
          </w:tcPr>
          <w:p w:rsidR="003D2346" w:rsidRPr="003D2346" w:rsidRDefault="003D2346" w:rsidP="003D2346">
            <w:pPr>
              <w:spacing w:after="0" w:line="240" w:lineRule="auto"/>
              <w:rPr>
                <w:rFonts w:ascii="Times New Roman" w:eastAsia="Times New Roman" w:hAnsi="Times New Roman" w:cs="Times New Roman"/>
                <w:sz w:val="20"/>
                <w:szCs w:val="20"/>
                <w:lang w:val="hr-HR" w:eastAsia="hr-HR"/>
              </w:rPr>
            </w:pPr>
          </w:p>
        </w:tc>
        <w:tc>
          <w:tcPr>
            <w:tcW w:w="837" w:type="dxa"/>
            <w:gridSpan w:val="2"/>
            <w:tcBorders>
              <w:top w:val="nil"/>
              <w:left w:val="nil"/>
              <w:bottom w:val="nil"/>
              <w:right w:val="nil"/>
            </w:tcBorders>
            <w:tcMar>
              <w:top w:w="39" w:type="dxa"/>
              <w:left w:w="39" w:type="dxa"/>
              <w:bottom w:w="39" w:type="dxa"/>
              <w:right w:w="39" w:type="dxa"/>
            </w:tcMar>
          </w:tcPr>
          <w:p w:rsidR="003D2346" w:rsidRPr="003D2346" w:rsidRDefault="003D2346" w:rsidP="003D2346">
            <w:pPr>
              <w:spacing w:after="0" w:line="240" w:lineRule="auto"/>
              <w:rPr>
                <w:rFonts w:ascii="Times New Roman" w:eastAsia="Times New Roman" w:hAnsi="Times New Roman" w:cs="Times New Roman"/>
                <w:sz w:val="20"/>
                <w:szCs w:val="20"/>
                <w:lang w:val="hr-HR" w:eastAsia="hr-HR"/>
              </w:rPr>
            </w:pP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Račun / opis</w:t>
            </w:r>
          </w:p>
        </w:tc>
        <w:tc>
          <w:tcPr>
            <w:tcW w:w="115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Izvršenje 2021.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Izvorni plan 2022.</w:t>
            </w:r>
          </w:p>
        </w:tc>
        <w:tc>
          <w:tcPr>
            <w:tcW w:w="1243"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Izvršenje 2022.</w:t>
            </w:r>
          </w:p>
        </w:tc>
        <w:tc>
          <w:tcPr>
            <w:tcW w:w="868"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Indeks  3/1</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Indeks  3/2</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A. RAČUN PRIHODA I RASHODA</w:t>
            </w:r>
          </w:p>
        </w:tc>
        <w:tc>
          <w:tcPr>
            <w:tcW w:w="1151"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jc w:val="center"/>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1</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jc w:val="center"/>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2</w:t>
            </w:r>
          </w:p>
        </w:tc>
        <w:tc>
          <w:tcPr>
            <w:tcW w:w="1243"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jc w:val="center"/>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3</w:t>
            </w:r>
          </w:p>
        </w:tc>
        <w:tc>
          <w:tcPr>
            <w:tcW w:w="86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jc w:val="center"/>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4</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jc w:val="center"/>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5</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6 Prihodi poslovanja</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1.735.884,84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2.681.985,00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2.227.155,23</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128,30%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83,04%</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7 Prihodi od prodaje nefinancijske imovine</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 UKUPNI PRIHODI</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1.735.884,84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2.681.985,00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2.227.155,23</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128,30%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83,04%</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 Rashodi poslovanja</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1.729.192,68</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2.683.986,07</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2.241.690,92</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129,64%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83,52%</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4 Rashodi za nabavu nefinancijske imovine</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20.368,75</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9.400,00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9.375,00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46,03%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99,73%</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 UKUPNI RASHODI</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1.749.561,43</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2.693.386,07</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2.251.065,92</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128,66%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83,58%</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 VIŠAK / MANJAK</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-13.676,59</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-11.401,07</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-23.910,69</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174,83%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209,72%</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B. RAČUN ZADUŽIVANJA / FINANCIRANJA</w:t>
            </w:r>
          </w:p>
        </w:tc>
        <w:tc>
          <w:tcPr>
            <w:tcW w:w="1151"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w:t>
            </w:r>
          </w:p>
        </w:tc>
        <w:tc>
          <w:tcPr>
            <w:tcW w:w="1243"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w:t>
            </w:r>
          </w:p>
        </w:tc>
        <w:tc>
          <w:tcPr>
            <w:tcW w:w="86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8 Primici od financijske imovine i zaduživanja</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5 Izdaci za financijsku imovinu i otplate zajmova</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 NETO ZADUŽIVANJE</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 UKUPNI DONOS VIŠKA / MANJKA IZ PRETHODNE(IH) GODINA</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 VIŠAK / MANJAK IZ PRETHODNE(IH) GODINE KOJI ĆE SE POKRITI / RASPOREDITI</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11.401,07</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VIŠAK / MANJAK + NETO ZADUŽIVANJE / FINANCIRANJE + KORIŠTENO U PRETHODNIM GODINAMA</w:t>
            </w:r>
          </w:p>
        </w:tc>
        <w:tc>
          <w:tcPr>
            <w:tcW w:w="1151"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w:t>
            </w:r>
          </w:p>
        </w:tc>
        <w:tc>
          <w:tcPr>
            <w:tcW w:w="1291"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w:t>
            </w:r>
          </w:p>
        </w:tc>
        <w:tc>
          <w:tcPr>
            <w:tcW w:w="1243"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w:t>
            </w:r>
          </w:p>
        </w:tc>
        <w:tc>
          <w:tcPr>
            <w:tcW w:w="868"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w:t>
            </w:r>
          </w:p>
        </w:tc>
      </w:tr>
      <w:tr w:rsidR="003D2346" w:rsidRPr="003D2346" w:rsidTr="008D5134">
        <w:tblPrEx>
          <w:tblBorders>
            <w:top w:val="none" w:sz="0" w:space="0" w:color="auto"/>
            <w:left w:val="none" w:sz="0" w:space="0" w:color="auto"/>
            <w:bottom w:val="none" w:sz="0" w:space="0" w:color="auto"/>
            <w:right w:val="none" w:sz="0" w:space="0" w:color="auto"/>
          </w:tblBorders>
          <w:tblCellMar>
            <w:left w:w="108" w:type="dxa"/>
            <w:right w:w="108" w:type="dxa"/>
          </w:tblCellMar>
        </w:tblPrEx>
        <w:trPr>
          <w:gridAfter w:val="1"/>
          <w:wAfter w:w="61" w:type="dxa"/>
          <w:trHeight w:val="264"/>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 REZULTAT GODINE</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-13.676,59</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-23.910,69</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174,83%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r>
    </w:tbl>
    <w:p w:rsidR="003D2346" w:rsidRPr="003D2346" w:rsidRDefault="003D2346" w:rsidP="003D2346">
      <w:pPr>
        <w:keepNext/>
        <w:spacing w:after="0" w:line="240" w:lineRule="auto"/>
        <w:outlineLvl w:val="1"/>
        <w:rPr>
          <w:rFonts w:ascii="Times New Roman" w:eastAsia="Times New Roman" w:hAnsi="Times New Roman" w:cs="Times New Roman"/>
          <w:lang w:val="hr-HR"/>
        </w:rPr>
      </w:pP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Prihodi i rashodi te primici i izdaci po ekonomskoj klasifikaciji, izvorima financiranja i funkcijskoj klasifikaciji utvrđeni u Računu prihoda i rashoda i Računu financiranja za 2022. godinu, ostvareni su kako slijedi:</w:t>
      </w: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numPr>
          <w:ilvl w:val="0"/>
          <w:numId w:val="1"/>
        </w:numPr>
        <w:spacing w:after="160" w:line="256" w:lineRule="auto"/>
        <w:contextualSpacing/>
        <w:jc w:val="both"/>
        <w:rPr>
          <w:rFonts w:ascii="Times New Roman" w:eastAsia="Calibri" w:hAnsi="Times New Roman" w:cs="Times New Roman"/>
          <w:b/>
          <w:bCs/>
          <w:sz w:val="24"/>
          <w:szCs w:val="24"/>
          <w:lang w:val="hr-HR"/>
        </w:rPr>
      </w:pPr>
      <w:r w:rsidRPr="003D2346">
        <w:rPr>
          <w:rFonts w:ascii="Times New Roman" w:eastAsia="Calibri" w:hAnsi="Times New Roman" w:cs="Times New Roman"/>
          <w:b/>
          <w:bCs/>
          <w:sz w:val="24"/>
          <w:szCs w:val="24"/>
          <w:lang w:val="hr-HR"/>
        </w:rPr>
        <w:t>RAČUN PRIHODA I RASHODA</w:t>
      </w: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24"/>
          <w:szCs w:val="24"/>
          <w:lang w:val="hr-HR"/>
        </w:rPr>
      </w:pPr>
      <w:r w:rsidRPr="003D2346">
        <w:rPr>
          <w:rFonts w:ascii="Cambria" w:eastAsia="Times New Roman" w:hAnsi="Cambria" w:cs="Times New Roman"/>
          <w:color w:val="365F91"/>
          <w:sz w:val="24"/>
          <w:szCs w:val="24"/>
          <w:lang w:val="hr-HR"/>
        </w:rPr>
        <w:t>1.PRIHODI I RASHODI PREMA EKONOMSKOJ KLASIFIKACIJI</w:t>
      </w:r>
    </w:p>
    <w:p w:rsidR="003D2346" w:rsidRPr="003D2346" w:rsidRDefault="003D2346" w:rsidP="003D2346">
      <w:pPr>
        <w:spacing w:after="160" w:line="259" w:lineRule="auto"/>
        <w:rPr>
          <w:rFonts w:ascii="Calibri" w:eastAsia="Calibri" w:hAnsi="Calibri" w:cs="Times New Roman"/>
          <w:lang w:val="hr-HR"/>
        </w:rPr>
      </w:pPr>
      <w:r w:rsidRPr="003D2346">
        <w:rPr>
          <w:rFonts w:ascii="Calibri" w:eastAsia="Calibri" w:hAnsi="Calibri" w:cs="Times New Roman"/>
          <w:lang w:val="hr-HR"/>
        </w:rPr>
        <w:fldChar w:fldCharType="begin"/>
      </w:r>
      <w:r w:rsidRPr="003D2346">
        <w:rPr>
          <w:rFonts w:ascii="Calibri" w:eastAsia="Calibri" w:hAnsi="Calibri" w:cs="Times New Roman"/>
          <w:lang w:val="hr-HR"/>
        </w:rPr>
        <w:instrText xml:space="preserve"> LINK Excel.Sheet.8 "C:\\Users\\DV Seget\\Desktop\\ivo\\Ispis izvršenja proračuna.xls" "Prihodi i rashodi prema ekonoms!R14C1:R65C22" \a \f 4 \h  \* MERGEFORMAT </w:instrText>
      </w:r>
      <w:r w:rsidRPr="003D2346">
        <w:rPr>
          <w:rFonts w:ascii="Calibri" w:eastAsia="Calibri" w:hAnsi="Calibri" w:cs="Times New Roman"/>
          <w:lang w:val="hr-HR"/>
        </w:rPr>
        <w:fldChar w:fldCharType="separate"/>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151"/>
        <w:gridCol w:w="1261"/>
        <w:gridCol w:w="1275"/>
        <w:gridCol w:w="851"/>
        <w:gridCol w:w="992"/>
      </w:tblGrid>
      <w:tr w:rsidR="003D2346" w:rsidRPr="003D2346" w:rsidTr="008D5134">
        <w:trPr>
          <w:trHeight w:val="264"/>
        </w:trPr>
        <w:tc>
          <w:tcPr>
            <w:tcW w:w="3678"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Račun / opis</w:t>
            </w:r>
          </w:p>
        </w:tc>
        <w:tc>
          <w:tcPr>
            <w:tcW w:w="1149"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Izvršenje 2021.</w:t>
            </w:r>
          </w:p>
        </w:tc>
        <w:tc>
          <w:tcPr>
            <w:tcW w:w="1261"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Izvorni plan 2022.</w:t>
            </w:r>
          </w:p>
        </w:tc>
        <w:tc>
          <w:tcPr>
            <w:tcW w:w="1275"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Izvršenje 2022.</w:t>
            </w:r>
          </w:p>
        </w:tc>
        <w:tc>
          <w:tcPr>
            <w:tcW w:w="851"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Indeks  3/1</w:t>
            </w:r>
          </w:p>
        </w:tc>
        <w:tc>
          <w:tcPr>
            <w:tcW w:w="992"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Indeks  3/2</w:t>
            </w:r>
          </w:p>
        </w:tc>
      </w:tr>
      <w:tr w:rsidR="003D2346" w:rsidRPr="003D2346" w:rsidTr="008D5134">
        <w:trPr>
          <w:trHeight w:val="264"/>
        </w:trPr>
        <w:tc>
          <w:tcPr>
            <w:tcW w:w="3678" w:type="dxa"/>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A. RAČUN PRIHODA I RASHODA</w:t>
            </w:r>
          </w:p>
        </w:tc>
        <w:tc>
          <w:tcPr>
            <w:tcW w:w="1149" w:type="dxa"/>
            <w:shd w:val="clear" w:color="000000" w:fill="808080"/>
            <w:noWrap/>
            <w:vAlign w:val="bottom"/>
            <w:hideMark/>
          </w:tcPr>
          <w:p w:rsidR="003D2346" w:rsidRPr="003D2346" w:rsidRDefault="003D2346" w:rsidP="003D2346">
            <w:pPr>
              <w:spacing w:after="160" w:line="259" w:lineRule="auto"/>
              <w:jc w:val="center"/>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1</w:t>
            </w:r>
          </w:p>
        </w:tc>
        <w:tc>
          <w:tcPr>
            <w:tcW w:w="1261" w:type="dxa"/>
            <w:shd w:val="clear" w:color="000000" w:fill="808080"/>
            <w:noWrap/>
            <w:vAlign w:val="bottom"/>
            <w:hideMark/>
          </w:tcPr>
          <w:p w:rsidR="003D2346" w:rsidRPr="003D2346" w:rsidRDefault="003D2346" w:rsidP="003D2346">
            <w:pPr>
              <w:spacing w:after="160" w:line="259" w:lineRule="auto"/>
              <w:jc w:val="center"/>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2</w:t>
            </w:r>
          </w:p>
        </w:tc>
        <w:tc>
          <w:tcPr>
            <w:tcW w:w="1275" w:type="dxa"/>
            <w:shd w:val="clear" w:color="000000" w:fill="808080"/>
            <w:noWrap/>
            <w:vAlign w:val="bottom"/>
            <w:hideMark/>
          </w:tcPr>
          <w:p w:rsidR="003D2346" w:rsidRPr="003D2346" w:rsidRDefault="003D2346" w:rsidP="003D2346">
            <w:pPr>
              <w:spacing w:after="160" w:line="259" w:lineRule="auto"/>
              <w:jc w:val="center"/>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3</w:t>
            </w:r>
          </w:p>
        </w:tc>
        <w:tc>
          <w:tcPr>
            <w:tcW w:w="851" w:type="dxa"/>
            <w:shd w:val="clear" w:color="000000" w:fill="808080"/>
            <w:noWrap/>
            <w:vAlign w:val="bottom"/>
            <w:hideMark/>
          </w:tcPr>
          <w:p w:rsidR="003D2346" w:rsidRPr="003D2346" w:rsidRDefault="003D2346" w:rsidP="003D2346">
            <w:pPr>
              <w:spacing w:after="160" w:line="259" w:lineRule="auto"/>
              <w:jc w:val="center"/>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4</w:t>
            </w:r>
          </w:p>
        </w:tc>
        <w:tc>
          <w:tcPr>
            <w:tcW w:w="992" w:type="dxa"/>
            <w:shd w:val="clear" w:color="000000" w:fill="808080"/>
            <w:noWrap/>
            <w:vAlign w:val="bottom"/>
            <w:hideMark/>
          </w:tcPr>
          <w:p w:rsidR="003D2346" w:rsidRPr="003D2346" w:rsidRDefault="003D2346" w:rsidP="003D2346">
            <w:pPr>
              <w:spacing w:after="160" w:line="259" w:lineRule="auto"/>
              <w:jc w:val="center"/>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5</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6 Prihodi poslovanja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1.735.884,84</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2.681.985,00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2.227.155,23</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128,30%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83,04%</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64 Prihodi od imovine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0,34</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0,37</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108,82%</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0,07%</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641 Prihodi od financijske imovine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0,34</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0,37</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108,82%</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0,07%</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6419 Ostali prihodi od financijske imovine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0,34</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0,37</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108,82%</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65 Prihodi od upravnih i administrativnih pristojbi, pristojbi po posebnim propisima i naknada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303.661,70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540.000,00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447.036,40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147,22%</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82,78%</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652 Prihodi po posebnim propisima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303.661,70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540.000,00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447.036,40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147,22%</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82,78%</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6526 Ostali nespomenuti prihodi</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303.661,70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447.036,40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147,22%</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67 Prihodi iz nadležnog proračuna i od HZZO-a temeljem ugovornih obveza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1.432.222,80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2.141.485,00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1.780.118,46</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124,29%</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83,13%</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671 Prihodi iz nadležnog proračuna za financiranje redovne djelatnosti proračunskih korisnika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1.432.222,80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2.141.485,00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1.780.118,46</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124,29%</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83,13%</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6711 Prihodi iz nadležnog proračuna za financiranje rashoda poslovanja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1.432.222,80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1.780.118,46</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124,29%</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 Rashodi poslovanja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1.729.192,68</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2.683.986,07</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2.241.690,92</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129,64%</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83,52%</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31 Rashodi za zaposlene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1.374.952,09</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1.853.360,00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1.691.993,48</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123,06%</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91,29%</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311 Plaće (Bruto)</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1.082.177,75</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1.400.000,00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1.277.681,09</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118,07%</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91,26%</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3111 Plaće za redovan rad</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1.082.177,75</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1.277.681,09</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118,07%</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312 Ostali rashodi za zaposlene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114.215,00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210.000,00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203.495,00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178,17%</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96,90%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3121 Ostali rashodi za zaposlene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114.215,00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203.495,00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178,17%</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313 Doprinosi na plaće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178.559,34</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243.360,00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210.817,39</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118,07%</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86,63%</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3132 Doprinosi za obvezno zdravstveno osiguranje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178.559,34</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210.817,39</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118,07%</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32 Materijalni rashodi</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346.624,03</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822.026,07</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544.075,48</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156,96%</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66,19%</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321 Naknade troškova zaposlenima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61.146,00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129.300,00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81.756,00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133,71%</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63,23%</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3211 Službena putovanja</w:t>
            </w:r>
          </w:p>
        </w:tc>
        <w:tc>
          <w:tcPr>
            <w:tcW w:w="1149"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p>
        </w:tc>
        <w:tc>
          <w:tcPr>
            <w:tcW w:w="1261" w:type="dxa"/>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953,00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3212 Naknade za prijevoz, za rad na terenu i odvojeni život</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61.146,00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79.178,00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129,49%</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3213 Stručno usavršavanje zaposlenika</w:t>
            </w:r>
          </w:p>
        </w:tc>
        <w:tc>
          <w:tcPr>
            <w:tcW w:w="1149"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p>
        </w:tc>
        <w:tc>
          <w:tcPr>
            <w:tcW w:w="1261" w:type="dxa"/>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1.625,00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322 Rashodi za materijal i energiju</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202.776,82</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478.101,07</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363.734,22</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179,38%</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76,08%</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3221 Uredski materijal i ostali materijalni rashodi</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37.980,17</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79.921,06</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210,43%</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3222 Materijal i sirovine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119.054,86</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221.034,36</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185,66%</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3223 Energija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39.860,57</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55.356,68</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138,88%</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3224 Materijal i dijelovi za tekuće i investicijsko održavanje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3.705,92</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2.499,09</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67,44%</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3225 Sitni inventar i auto gume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2.175,30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4.923,03</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226,31%</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323 Rashodi za usluge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79.353,42</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108.600,00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93.295,63</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117,57%</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85,91%</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3231 Usluge telefona, pošte i prijevoza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10.889,61</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11.482,48</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105,44%</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3232 Usluge tekućeg i investicijskog održavanja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6.875,00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6.512,50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94,73%</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3233 Usluge promidžbe i informiranja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2.760,00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3234 Komunalne usluge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20.569,11</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20.568,39</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100,00%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3236 Zdravstvene i veterinarske usluge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3.793,45</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5.250,00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138,40%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3237 Intelektualne i osobne usluge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1.300,00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3238 Računalne usluge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19.966,25</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30.235,00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151,43%</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3239 Ostale usluge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13.200,00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19.247,26</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145,81%</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329 Ostali nespomenuti rashodi poslovanja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3.347,79</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106.025,00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5.289,63</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158,00%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4,99%</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3292 Premije osiguranja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3.347,79</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4.558,85</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136,17%</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3293 Reprezentacija</w:t>
            </w:r>
          </w:p>
        </w:tc>
        <w:tc>
          <w:tcPr>
            <w:tcW w:w="1149"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p>
        </w:tc>
        <w:tc>
          <w:tcPr>
            <w:tcW w:w="1261" w:type="dxa"/>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254,73</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3299 Ostali nespomenuti rashodi poslovanja</w:t>
            </w:r>
          </w:p>
        </w:tc>
        <w:tc>
          <w:tcPr>
            <w:tcW w:w="1149"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p>
        </w:tc>
        <w:tc>
          <w:tcPr>
            <w:tcW w:w="1261" w:type="dxa"/>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476,05</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34 Financijski rashodi</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7.616,56</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8.600,00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5.621,96</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73,81%</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65,37%</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343 Ostali financijski rashodi</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7.616,56</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8.600,00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5.621,96</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73,81%</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65,37%</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3431 Bankarske usluge i usluge platnog prometa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7.616,56</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5.621,96</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73,81%</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4 Rashodi za nabavu nefinancijske imovine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20.368,75</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9.400,00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9.375,00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46,03%</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99,73%</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42 Rashodi za nabavu proizvedene dugotrajne imovine</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20.368,75</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9.400,00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9.375,00</w:t>
            </w: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46,03%</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99,73%</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422 Postrojenja i oprema</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20.368,75</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1275"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4221 Uredska oprema i namještaj</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2.000,00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4223 Oprema za održavanje i zaštitu</w:t>
            </w:r>
          </w:p>
        </w:tc>
        <w:tc>
          <w:tcPr>
            <w:tcW w:w="1149"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3.687,50</w:t>
            </w:r>
          </w:p>
        </w:tc>
        <w:tc>
          <w:tcPr>
            <w:tcW w:w="126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jc w:val="right"/>
              <w:rPr>
                <w:rFonts w:ascii="Calibri" w:eastAsia="Calibri" w:hAnsi="Calibri" w:cs="Times New Roman"/>
                <w:sz w:val="16"/>
                <w:szCs w:val="16"/>
                <w:lang w:val="hr-HR"/>
              </w:rPr>
            </w:pPr>
          </w:p>
        </w:tc>
        <w:tc>
          <w:tcPr>
            <w:tcW w:w="851"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c>
          <w:tcPr>
            <w:tcW w:w="992"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r w:rsidR="003D2346" w:rsidRPr="003D2346" w:rsidTr="008D5134">
        <w:trPr>
          <w:trHeight w:val="264"/>
        </w:trPr>
        <w:tc>
          <w:tcPr>
            <w:tcW w:w="3678" w:type="dxa"/>
            <w:shd w:val="clear" w:color="auto" w:fill="auto"/>
            <w:noWrap/>
            <w:vAlign w:val="bottom"/>
          </w:tcPr>
          <w:p w:rsidR="003D2346" w:rsidRPr="003D2346" w:rsidRDefault="003D2346" w:rsidP="003D2346">
            <w:pPr>
              <w:spacing w:after="160" w:line="259" w:lineRule="auto"/>
              <w:rPr>
                <w:rFonts w:ascii="Arial" w:eastAsia="Calibri" w:hAnsi="Arial" w:cs="Arial"/>
                <w:sz w:val="16"/>
                <w:szCs w:val="16"/>
                <w:lang w:val="hr-HR"/>
              </w:rPr>
            </w:pPr>
            <w:r w:rsidRPr="003D2346">
              <w:rPr>
                <w:rFonts w:ascii="Arial" w:eastAsia="Calibri" w:hAnsi="Arial" w:cs="Arial"/>
                <w:sz w:val="16"/>
                <w:szCs w:val="16"/>
                <w:lang w:val="hr-HR"/>
              </w:rPr>
              <w:t>4227 Uređaji, strojevi i oprema za ostale namjene</w:t>
            </w:r>
          </w:p>
        </w:tc>
        <w:tc>
          <w:tcPr>
            <w:tcW w:w="1149" w:type="dxa"/>
            <w:shd w:val="clear" w:color="auto" w:fill="auto"/>
            <w:noWrap/>
            <w:vAlign w:val="bottom"/>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14.681,25</w:t>
            </w:r>
          </w:p>
        </w:tc>
        <w:tc>
          <w:tcPr>
            <w:tcW w:w="1261" w:type="dxa"/>
            <w:shd w:val="clear" w:color="auto" w:fill="auto"/>
            <w:noWrap/>
            <w:vAlign w:val="bottom"/>
          </w:tcPr>
          <w:p w:rsidR="003D2346" w:rsidRPr="003D2346" w:rsidRDefault="003D2346" w:rsidP="003D2346">
            <w:pPr>
              <w:spacing w:after="160" w:line="259" w:lineRule="auto"/>
              <w:jc w:val="right"/>
              <w:rPr>
                <w:rFonts w:ascii="Arial" w:eastAsia="Calibri" w:hAnsi="Arial" w:cs="Arial"/>
                <w:sz w:val="16"/>
                <w:szCs w:val="16"/>
                <w:lang w:val="hr-HR"/>
              </w:rPr>
            </w:pPr>
          </w:p>
        </w:tc>
        <w:tc>
          <w:tcPr>
            <w:tcW w:w="1275" w:type="dxa"/>
            <w:shd w:val="clear" w:color="auto" w:fill="auto"/>
            <w:noWrap/>
            <w:vAlign w:val="bottom"/>
          </w:tcPr>
          <w:p w:rsidR="003D2346" w:rsidRPr="003D2346" w:rsidRDefault="003D2346" w:rsidP="003D2346">
            <w:pPr>
              <w:spacing w:after="160" w:line="259" w:lineRule="auto"/>
              <w:jc w:val="right"/>
              <w:rPr>
                <w:rFonts w:ascii="Calibri" w:eastAsia="Calibri" w:hAnsi="Calibri" w:cs="Times New Roman"/>
                <w:sz w:val="16"/>
                <w:szCs w:val="16"/>
                <w:lang w:val="hr-HR"/>
              </w:rPr>
            </w:pPr>
          </w:p>
        </w:tc>
        <w:tc>
          <w:tcPr>
            <w:tcW w:w="851" w:type="dxa"/>
            <w:shd w:val="clear" w:color="auto" w:fill="auto"/>
            <w:noWrap/>
            <w:vAlign w:val="bottom"/>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c>
          <w:tcPr>
            <w:tcW w:w="992" w:type="dxa"/>
            <w:shd w:val="clear" w:color="auto" w:fill="auto"/>
            <w:noWrap/>
            <w:vAlign w:val="bottom"/>
          </w:tcPr>
          <w:p w:rsidR="003D2346" w:rsidRPr="003D2346" w:rsidRDefault="003D2346" w:rsidP="003D2346">
            <w:pPr>
              <w:spacing w:after="160" w:line="259" w:lineRule="auto"/>
              <w:jc w:val="right"/>
              <w:rPr>
                <w:rFonts w:ascii="Arial" w:eastAsia="Calibri" w:hAnsi="Arial" w:cs="Arial"/>
                <w:sz w:val="16"/>
                <w:szCs w:val="16"/>
                <w:lang w:val="hr-HR"/>
              </w:rPr>
            </w:pPr>
            <w:r w:rsidRPr="003D2346">
              <w:rPr>
                <w:rFonts w:ascii="Arial" w:eastAsia="Calibri" w:hAnsi="Arial" w:cs="Arial"/>
                <w:sz w:val="16"/>
                <w:szCs w:val="16"/>
                <w:lang w:val="hr-HR"/>
              </w:rPr>
              <w:t>0,00%</w:t>
            </w:r>
          </w:p>
        </w:tc>
      </w:tr>
    </w:tbl>
    <w:p w:rsidR="003D2346" w:rsidRPr="003D2346" w:rsidRDefault="003D2346" w:rsidP="003D2346">
      <w:pPr>
        <w:spacing w:after="160" w:line="259" w:lineRule="auto"/>
        <w:ind w:right="4932"/>
        <w:rPr>
          <w:rFonts w:ascii="Arial" w:eastAsia="Calibri" w:hAnsi="Arial" w:cs="Arial"/>
          <w:lang w:val="hr-HR"/>
        </w:rPr>
      </w:pPr>
      <w:r w:rsidRPr="003D2346">
        <w:rPr>
          <w:rFonts w:ascii="Arial" w:eastAsia="Calibri" w:hAnsi="Arial" w:cs="Arial"/>
          <w:lang w:val="hr-HR"/>
        </w:rPr>
        <w:fldChar w:fldCharType="end"/>
      </w: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24"/>
          <w:szCs w:val="24"/>
          <w:lang w:val="hr-HR"/>
        </w:rPr>
      </w:pPr>
      <w:r w:rsidRPr="003D2346">
        <w:rPr>
          <w:rFonts w:ascii="Cambria" w:eastAsia="Times New Roman" w:hAnsi="Cambria" w:cs="Times New Roman"/>
          <w:color w:val="365F91"/>
          <w:sz w:val="24"/>
          <w:szCs w:val="24"/>
          <w:lang w:val="hr-HR"/>
        </w:rPr>
        <w:t>2. PRIHODI I RASHODI PREMA IZVORIMA FINANCIRANJA</w:t>
      </w:r>
    </w:p>
    <w:p w:rsidR="003D2346" w:rsidRPr="003D2346" w:rsidRDefault="003D2346" w:rsidP="003D2346">
      <w:pPr>
        <w:spacing w:after="160" w:line="259" w:lineRule="auto"/>
        <w:rPr>
          <w:rFonts w:ascii="Calibri" w:eastAsia="Calibri" w:hAnsi="Calibri" w:cs="Times New Roman"/>
          <w:lang w:val="hr-HR"/>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151"/>
        <w:gridCol w:w="1261"/>
        <w:gridCol w:w="1275"/>
        <w:gridCol w:w="851"/>
        <w:gridCol w:w="992"/>
      </w:tblGrid>
      <w:tr w:rsidR="003D2346" w:rsidRPr="003D2346" w:rsidTr="008D5134">
        <w:trPr>
          <w:trHeight w:val="264"/>
        </w:trPr>
        <w:tc>
          <w:tcPr>
            <w:tcW w:w="3678"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Račun / opis</w:t>
            </w:r>
          </w:p>
        </w:tc>
        <w:tc>
          <w:tcPr>
            <w:tcW w:w="1149"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Izvršenje 2021.</w:t>
            </w:r>
          </w:p>
        </w:tc>
        <w:tc>
          <w:tcPr>
            <w:tcW w:w="1261"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Izvorni plan 2022.</w:t>
            </w:r>
          </w:p>
        </w:tc>
        <w:tc>
          <w:tcPr>
            <w:tcW w:w="1275"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Izvršenje 2022.</w:t>
            </w:r>
          </w:p>
        </w:tc>
        <w:tc>
          <w:tcPr>
            <w:tcW w:w="851"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Indeks  3/1</w:t>
            </w:r>
          </w:p>
        </w:tc>
        <w:tc>
          <w:tcPr>
            <w:tcW w:w="992"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Indeks  3/2</w:t>
            </w:r>
          </w:p>
        </w:tc>
      </w:tr>
      <w:tr w:rsidR="003D2346" w:rsidRPr="003D2346" w:rsidTr="008D5134">
        <w:trPr>
          <w:trHeight w:val="264"/>
        </w:trPr>
        <w:tc>
          <w:tcPr>
            <w:tcW w:w="3678"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PRIHODI I RASHODI PREMA IZVORIMA FINANCIRANJA</w:t>
            </w:r>
          </w:p>
        </w:tc>
        <w:tc>
          <w:tcPr>
            <w:tcW w:w="1149"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1</w:t>
            </w:r>
          </w:p>
        </w:tc>
        <w:tc>
          <w:tcPr>
            <w:tcW w:w="1261"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2</w:t>
            </w:r>
          </w:p>
        </w:tc>
        <w:tc>
          <w:tcPr>
            <w:tcW w:w="1275"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3</w:t>
            </w:r>
          </w:p>
        </w:tc>
        <w:tc>
          <w:tcPr>
            <w:tcW w:w="851"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4</w:t>
            </w:r>
          </w:p>
        </w:tc>
        <w:tc>
          <w:tcPr>
            <w:tcW w:w="992" w:type="dxa"/>
            <w:shd w:val="clear" w:color="000000" w:fill="C0C0C0"/>
            <w:noWrap/>
            <w:vAlign w:val="bottom"/>
            <w:hideMark/>
          </w:tcPr>
          <w:p w:rsidR="003D2346" w:rsidRPr="003D2346" w:rsidRDefault="003D2346" w:rsidP="003D2346">
            <w:pPr>
              <w:spacing w:after="160" w:line="259" w:lineRule="auto"/>
              <w:jc w:val="center"/>
              <w:rPr>
                <w:rFonts w:ascii="Arial" w:eastAsia="Calibri" w:hAnsi="Arial" w:cs="Arial"/>
                <w:b/>
                <w:bCs/>
                <w:sz w:val="16"/>
                <w:szCs w:val="16"/>
                <w:lang w:val="hr-HR"/>
              </w:rPr>
            </w:pPr>
            <w:r w:rsidRPr="003D2346">
              <w:rPr>
                <w:rFonts w:ascii="Arial" w:eastAsia="Calibri" w:hAnsi="Arial" w:cs="Arial"/>
                <w:b/>
                <w:bCs/>
                <w:sz w:val="16"/>
                <w:szCs w:val="16"/>
                <w:lang w:val="hr-HR"/>
              </w:rPr>
              <w:t>5</w:t>
            </w:r>
          </w:p>
        </w:tc>
      </w:tr>
      <w:tr w:rsidR="003D2346" w:rsidRPr="003D2346" w:rsidTr="008D5134">
        <w:trPr>
          <w:trHeight w:val="264"/>
        </w:trPr>
        <w:tc>
          <w:tcPr>
            <w:tcW w:w="3678" w:type="dxa"/>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xml:space="preserve"> SVEUKUPNI PRIHODI</w:t>
            </w:r>
          </w:p>
        </w:tc>
        <w:tc>
          <w:tcPr>
            <w:tcW w:w="1149" w:type="dxa"/>
            <w:shd w:val="clear" w:color="000000" w:fill="808080"/>
            <w:noWrap/>
            <w:vAlign w:val="bottom"/>
            <w:hideMark/>
          </w:tcPr>
          <w:p w:rsidR="003D2346" w:rsidRPr="003D2346" w:rsidRDefault="003D2346" w:rsidP="003D2346">
            <w:pPr>
              <w:spacing w:after="160" w:line="259" w:lineRule="auto"/>
              <w:jc w:val="right"/>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1.735.884,84</w:t>
            </w:r>
          </w:p>
        </w:tc>
        <w:tc>
          <w:tcPr>
            <w:tcW w:w="1261" w:type="dxa"/>
            <w:shd w:val="clear" w:color="000000" w:fill="808080"/>
            <w:noWrap/>
            <w:vAlign w:val="bottom"/>
            <w:hideMark/>
          </w:tcPr>
          <w:p w:rsidR="003D2346" w:rsidRPr="003D2346" w:rsidRDefault="003D2346" w:rsidP="003D2346">
            <w:pPr>
              <w:spacing w:after="160" w:line="259" w:lineRule="auto"/>
              <w:jc w:val="right"/>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2.681.985,00</w:t>
            </w:r>
          </w:p>
        </w:tc>
        <w:tc>
          <w:tcPr>
            <w:tcW w:w="1275" w:type="dxa"/>
            <w:shd w:val="clear" w:color="000000" w:fill="808080"/>
            <w:noWrap/>
            <w:vAlign w:val="bottom"/>
            <w:hideMark/>
          </w:tcPr>
          <w:p w:rsidR="003D2346" w:rsidRPr="003D2346" w:rsidRDefault="003D2346" w:rsidP="003D2346">
            <w:pPr>
              <w:spacing w:after="160" w:line="259" w:lineRule="auto"/>
              <w:jc w:val="right"/>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2.227.155,23</w:t>
            </w:r>
          </w:p>
        </w:tc>
        <w:tc>
          <w:tcPr>
            <w:tcW w:w="851" w:type="dxa"/>
            <w:shd w:val="clear" w:color="000000" w:fill="808080"/>
            <w:noWrap/>
            <w:vAlign w:val="bottom"/>
            <w:hideMark/>
          </w:tcPr>
          <w:p w:rsidR="003D2346" w:rsidRPr="003D2346" w:rsidRDefault="003D2346" w:rsidP="003D2346">
            <w:pPr>
              <w:spacing w:after="160" w:line="259" w:lineRule="auto"/>
              <w:jc w:val="right"/>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128,30%</w:t>
            </w:r>
          </w:p>
        </w:tc>
        <w:tc>
          <w:tcPr>
            <w:tcW w:w="992" w:type="dxa"/>
            <w:shd w:val="clear" w:color="000000" w:fill="808080"/>
            <w:noWrap/>
            <w:vAlign w:val="bottom"/>
            <w:hideMark/>
          </w:tcPr>
          <w:p w:rsidR="003D2346" w:rsidRPr="003D2346" w:rsidRDefault="003D2346" w:rsidP="003D2346">
            <w:pPr>
              <w:spacing w:after="160" w:line="259" w:lineRule="auto"/>
              <w:jc w:val="right"/>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83,04%</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1. Opći prihodi</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1.432.223,14</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2.126.985,00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1.769.798,83</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123,57%</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83,21%</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1.1. Proračun općine Seget</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1.432.222,80</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2.126.485,00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1.769.798,46</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123,57%</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83,23%</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1.2. Prihod od banke(pasivna kamata)</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0,34</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0,37</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108,82%</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0,07%</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3. Vlastiti prihodi</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303.661,70</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540.000,00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447.036,40</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147,22%</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82,78%</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3.1. Prihod od roditelja</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303.661,70</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540.000,00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447.036,40</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147,22%</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82,78%</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6. Ministarstvo znanosti,obrazovanja i sporta</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 </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15.000,00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10.320,00</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68,80%</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Izvor 6.1. Prihod od Ministarstva za program za djecu s teškoćama u </w:t>
            </w:r>
            <w:proofErr w:type="spellStart"/>
            <w:r w:rsidRPr="003D2346">
              <w:rPr>
                <w:rFonts w:ascii="Arial" w:eastAsia="Calibri" w:hAnsi="Arial" w:cs="Arial"/>
                <w:b/>
                <w:bCs/>
                <w:sz w:val="16"/>
                <w:szCs w:val="16"/>
                <w:lang w:val="hr-HR"/>
              </w:rPr>
              <w:t>raz</w:t>
            </w:r>
            <w:proofErr w:type="spellEnd"/>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 </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5.000,00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4.200,00</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84,00%</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Izvor 6.2. Prihod od Ministarstva za program </w:t>
            </w:r>
            <w:proofErr w:type="spellStart"/>
            <w:r w:rsidRPr="003D2346">
              <w:rPr>
                <w:rFonts w:ascii="Arial" w:eastAsia="Calibri" w:hAnsi="Arial" w:cs="Arial"/>
                <w:b/>
                <w:bCs/>
                <w:sz w:val="16"/>
                <w:szCs w:val="16"/>
                <w:lang w:val="hr-HR"/>
              </w:rPr>
              <w:t>predškole</w:t>
            </w:r>
            <w:proofErr w:type="spellEnd"/>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 </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10.000,00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6.120,00</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61,20%</w:t>
            </w:r>
          </w:p>
        </w:tc>
      </w:tr>
      <w:tr w:rsidR="003D2346" w:rsidRPr="003D2346" w:rsidTr="008D5134">
        <w:trPr>
          <w:trHeight w:val="264"/>
        </w:trPr>
        <w:tc>
          <w:tcPr>
            <w:tcW w:w="3678" w:type="dxa"/>
            <w:shd w:val="clear" w:color="auto" w:fill="auto"/>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p>
        </w:tc>
        <w:tc>
          <w:tcPr>
            <w:tcW w:w="1149" w:type="dxa"/>
            <w:shd w:val="clear" w:color="auto" w:fill="auto"/>
            <w:noWrap/>
            <w:vAlign w:val="bottom"/>
            <w:hideMark/>
          </w:tcPr>
          <w:p w:rsidR="003D2346" w:rsidRPr="003D2346" w:rsidRDefault="003D2346" w:rsidP="003D2346">
            <w:pPr>
              <w:spacing w:after="160" w:line="259" w:lineRule="auto"/>
              <w:rPr>
                <w:rFonts w:ascii="Calibri" w:eastAsia="Calibri" w:hAnsi="Calibri" w:cs="Times New Roman"/>
                <w:sz w:val="16"/>
                <w:szCs w:val="16"/>
                <w:lang w:val="hr-HR"/>
              </w:rPr>
            </w:pPr>
          </w:p>
        </w:tc>
        <w:tc>
          <w:tcPr>
            <w:tcW w:w="1261" w:type="dxa"/>
            <w:shd w:val="clear" w:color="auto" w:fill="auto"/>
            <w:noWrap/>
            <w:vAlign w:val="bottom"/>
            <w:hideMark/>
          </w:tcPr>
          <w:p w:rsidR="003D2346" w:rsidRPr="003D2346" w:rsidRDefault="003D2346" w:rsidP="003D2346">
            <w:pPr>
              <w:spacing w:after="160" w:line="259" w:lineRule="auto"/>
              <w:rPr>
                <w:rFonts w:ascii="Calibri" w:eastAsia="Calibri" w:hAnsi="Calibri" w:cs="Times New Roman"/>
                <w:sz w:val="16"/>
                <w:szCs w:val="16"/>
                <w:lang w:val="hr-HR"/>
              </w:rPr>
            </w:pPr>
          </w:p>
        </w:tc>
        <w:tc>
          <w:tcPr>
            <w:tcW w:w="1275" w:type="dxa"/>
            <w:shd w:val="clear" w:color="auto" w:fill="auto"/>
            <w:noWrap/>
            <w:vAlign w:val="bottom"/>
            <w:hideMark/>
          </w:tcPr>
          <w:p w:rsidR="003D2346" w:rsidRPr="003D2346" w:rsidRDefault="003D2346" w:rsidP="003D2346">
            <w:pPr>
              <w:spacing w:after="160" w:line="259" w:lineRule="auto"/>
              <w:rPr>
                <w:rFonts w:ascii="Calibri" w:eastAsia="Calibri" w:hAnsi="Calibri" w:cs="Times New Roman"/>
                <w:sz w:val="16"/>
                <w:szCs w:val="16"/>
                <w:lang w:val="hr-HR"/>
              </w:rPr>
            </w:pPr>
          </w:p>
        </w:tc>
        <w:tc>
          <w:tcPr>
            <w:tcW w:w="851" w:type="dxa"/>
            <w:shd w:val="clear" w:color="auto" w:fill="auto"/>
            <w:noWrap/>
            <w:vAlign w:val="bottom"/>
            <w:hideMark/>
          </w:tcPr>
          <w:p w:rsidR="003D2346" w:rsidRPr="003D2346" w:rsidRDefault="003D2346" w:rsidP="003D2346">
            <w:pPr>
              <w:spacing w:after="160" w:line="259" w:lineRule="auto"/>
              <w:rPr>
                <w:rFonts w:ascii="Calibri" w:eastAsia="Calibri" w:hAnsi="Calibri" w:cs="Times New Roman"/>
                <w:sz w:val="16"/>
                <w:szCs w:val="16"/>
                <w:lang w:val="hr-HR"/>
              </w:rPr>
            </w:pPr>
          </w:p>
        </w:tc>
        <w:tc>
          <w:tcPr>
            <w:tcW w:w="992" w:type="dxa"/>
            <w:shd w:val="clear" w:color="auto" w:fill="auto"/>
            <w:noWrap/>
            <w:vAlign w:val="bottom"/>
            <w:hideMark/>
          </w:tcPr>
          <w:p w:rsidR="003D2346" w:rsidRPr="003D2346" w:rsidRDefault="003D2346" w:rsidP="003D2346">
            <w:pPr>
              <w:spacing w:after="160" w:line="259" w:lineRule="auto"/>
              <w:rPr>
                <w:rFonts w:ascii="Calibri" w:eastAsia="Calibri" w:hAnsi="Calibri" w:cs="Times New Roman"/>
                <w:sz w:val="16"/>
                <w:szCs w:val="16"/>
                <w:lang w:val="hr-HR"/>
              </w:rPr>
            </w:pPr>
          </w:p>
        </w:tc>
      </w:tr>
      <w:tr w:rsidR="003D2346" w:rsidRPr="003D2346" w:rsidTr="008D5134">
        <w:trPr>
          <w:trHeight w:val="264"/>
        </w:trPr>
        <w:tc>
          <w:tcPr>
            <w:tcW w:w="3678" w:type="dxa"/>
            <w:shd w:val="clear" w:color="000000" w:fill="808080"/>
            <w:noWrap/>
            <w:vAlign w:val="bottom"/>
            <w:hideMark/>
          </w:tcPr>
          <w:p w:rsidR="003D2346" w:rsidRPr="003D2346" w:rsidRDefault="003D2346" w:rsidP="003D2346">
            <w:pPr>
              <w:spacing w:after="160" w:line="259" w:lineRule="auto"/>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 xml:space="preserve"> SVEUKUPNI RASHODI</w:t>
            </w:r>
          </w:p>
        </w:tc>
        <w:tc>
          <w:tcPr>
            <w:tcW w:w="1149" w:type="dxa"/>
            <w:shd w:val="clear" w:color="000000" w:fill="808080"/>
            <w:noWrap/>
            <w:vAlign w:val="bottom"/>
            <w:hideMark/>
          </w:tcPr>
          <w:p w:rsidR="003D2346" w:rsidRPr="003D2346" w:rsidRDefault="003D2346" w:rsidP="003D2346">
            <w:pPr>
              <w:spacing w:after="160" w:line="259" w:lineRule="auto"/>
              <w:jc w:val="right"/>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1.749.561,43</w:t>
            </w:r>
          </w:p>
        </w:tc>
        <w:tc>
          <w:tcPr>
            <w:tcW w:w="1261" w:type="dxa"/>
            <w:shd w:val="clear" w:color="000000" w:fill="808080"/>
            <w:noWrap/>
            <w:vAlign w:val="bottom"/>
            <w:hideMark/>
          </w:tcPr>
          <w:p w:rsidR="003D2346" w:rsidRPr="003D2346" w:rsidRDefault="003D2346" w:rsidP="003D2346">
            <w:pPr>
              <w:spacing w:after="160" w:line="259" w:lineRule="auto"/>
              <w:jc w:val="right"/>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2.693.386,07</w:t>
            </w:r>
          </w:p>
        </w:tc>
        <w:tc>
          <w:tcPr>
            <w:tcW w:w="1275" w:type="dxa"/>
            <w:shd w:val="clear" w:color="000000" w:fill="808080"/>
            <w:noWrap/>
            <w:vAlign w:val="bottom"/>
            <w:hideMark/>
          </w:tcPr>
          <w:p w:rsidR="003D2346" w:rsidRPr="003D2346" w:rsidRDefault="003D2346" w:rsidP="003D2346">
            <w:pPr>
              <w:spacing w:after="160" w:line="259" w:lineRule="auto"/>
              <w:jc w:val="right"/>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2.251.065,92</w:t>
            </w:r>
          </w:p>
        </w:tc>
        <w:tc>
          <w:tcPr>
            <w:tcW w:w="851" w:type="dxa"/>
            <w:shd w:val="clear" w:color="000000" w:fill="808080"/>
            <w:noWrap/>
            <w:vAlign w:val="bottom"/>
            <w:hideMark/>
          </w:tcPr>
          <w:p w:rsidR="003D2346" w:rsidRPr="003D2346" w:rsidRDefault="003D2346" w:rsidP="003D2346">
            <w:pPr>
              <w:spacing w:after="160" w:line="259" w:lineRule="auto"/>
              <w:jc w:val="right"/>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128,66%</w:t>
            </w:r>
          </w:p>
        </w:tc>
        <w:tc>
          <w:tcPr>
            <w:tcW w:w="992" w:type="dxa"/>
            <w:shd w:val="clear" w:color="000000" w:fill="808080"/>
            <w:noWrap/>
            <w:vAlign w:val="bottom"/>
            <w:hideMark/>
          </w:tcPr>
          <w:p w:rsidR="003D2346" w:rsidRPr="003D2346" w:rsidRDefault="003D2346" w:rsidP="003D2346">
            <w:pPr>
              <w:spacing w:after="160" w:line="259" w:lineRule="auto"/>
              <w:jc w:val="right"/>
              <w:rPr>
                <w:rFonts w:ascii="Arial" w:eastAsia="Calibri" w:hAnsi="Arial" w:cs="Arial"/>
                <w:b/>
                <w:bCs/>
                <w:color w:val="FFFFFF"/>
                <w:sz w:val="16"/>
                <w:szCs w:val="16"/>
                <w:lang w:val="hr-HR"/>
              </w:rPr>
            </w:pPr>
            <w:r w:rsidRPr="003D2346">
              <w:rPr>
                <w:rFonts w:ascii="Arial" w:eastAsia="Calibri" w:hAnsi="Arial" w:cs="Arial"/>
                <w:b/>
                <w:bCs/>
                <w:color w:val="FFFFFF"/>
                <w:sz w:val="16"/>
                <w:szCs w:val="16"/>
                <w:lang w:val="hr-HR"/>
              </w:rPr>
              <w:t>83,58%</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1. Opći prihodi</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1.436.098,09</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2.126.985,00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1.772.124,48</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123,40%</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83,32%</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1.1. Proračun općine Seget</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1.436.098,09</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2.126.485,00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1.772.124,48</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123,40%</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83,34%</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1.2. Prihod od banke(pasivna kamata)</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 </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 </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3. Vlastiti prihodi</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262.602,95</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540.000,00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466.014,94</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177,46%</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86,30%</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3.1. Prihod od roditelja</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262.602,95</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540.000,00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466.014,94</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177,46%</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86,30%</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4. Višak prihoda poslovanja</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50.860,39</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11.401,07</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9.375,00</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18,43%</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82,23%</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4.1. Višak prihoda iz prethodnih godina</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50.860,39</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11.401,07</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9.375,00</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18,43%</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82,23%</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Izvor 6. Ministarstvo znanosti,obrazovanja i sporta</w:t>
            </w:r>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 </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15.000,00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3.551,50</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23,68%</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Izvor 6.1. Prihod od Ministarstva za program za djecu s teškoćama u </w:t>
            </w:r>
            <w:proofErr w:type="spellStart"/>
            <w:r w:rsidRPr="003D2346">
              <w:rPr>
                <w:rFonts w:ascii="Arial" w:eastAsia="Calibri" w:hAnsi="Arial" w:cs="Arial"/>
                <w:b/>
                <w:bCs/>
                <w:sz w:val="16"/>
                <w:szCs w:val="16"/>
                <w:lang w:val="hr-HR"/>
              </w:rPr>
              <w:t>raz</w:t>
            </w:r>
            <w:proofErr w:type="spellEnd"/>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 </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5.000,00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1.775,75</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35,52%</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160" w:line="259" w:lineRule="auto"/>
              <w:rPr>
                <w:rFonts w:ascii="Arial" w:eastAsia="Calibri" w:hAnsi="Arial" w:cs="Arial"/>
                <w:b/>
                <w:bCs/>
                <w:sz w:val="16"/>
                <w:szCs w:val="16"/>
                <w:lang w:val="hr-HR"/>
              </w:rPr>
            </w:pPr>
            <w:r w:rsidRPr="003D2346">
              <w:rPr>
                <w:rFonts w:ascii="Arial" w:eastAsia="Calibri" w:hAnsi="Arial" w:cs="Arial"/>
                <w:b/>
                <w:bCs/>
                <w:sz w:val="16"/>
                <w:szCs w:val="16"/>
                <w:lang w:val="hr-HR"/>
              </w:rPr>
              <w:t xml:space="preserve">Izvor 6.2. Prihod od Ministarstva za program </w:t>
            </w:r>
            <w:proofErr w:type="spellStart"/>
            <w:r w:rsidRPr="003D2346">
              <w:rPr>
                <w:rFonts w:ascii="Arial" w:eastAsia="Calibri" w:hAnsi="Arial" w:cs="Arial"/>
                <w:b/>
                <w:bCs/>
                <w:sz w:val="16"/>
                <w:szCs w:val="16"/>
                <w:lang w:val="hr-HR"/>
              </w:rPr>
              <w:t>predškole</w:t>
            </w:r>
            <w:proofErr w:type="spellEnd"/>
          </w:p>
        </w:tc>
        <w:tc>
          <w:tcPr>
            <w:tcW w:w="1149"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 </w:t>
            </w:r>
          </w:p>
        </w:tc>
        <w:tc>
          <w:tcPr>
            <w:tcW w:w="126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10.000,00</w:t>
            </w:r>
          </w:p>
        </w:tc>
        <w:tc>
          <w:tcPr>
            <w:tcW w:w="1275"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1.775,75</w:t>
            </w:r>
          </w:p>
        </w:tc>
        <w:tc>
          <w:tcPr>
            <w:tcW w:w="851"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0,00%</w:t>
            </w:r>
          </w:p>
        </w:tc>
        <w:tc>
          <w:tcPr>
            <w:tcW w:w="992" w:type="dxa"/>
            <w:shd w:val="clear" w:color="auto" w:fill="FFFFFF" w:themeFill="background1"/>
            <w:noWrap/>
            <w:vAlign w:val="bottom"/>
            <w:hideMark/>
          </w:tcPr>
          <w:p w:rsidR="003D2346" w:rsidRPr="003D2346" w:rsidRDefault="003D2346" w:rsidP="003D2346">
            <w:pPr>
              <w:spacing w:after="160" w:line="259" w:lineRule="auto"/>
              <w:jc w:val="right"/>
              <w:rPr>
                <w:rFonts w:ascii="Arial" w:eastAsia="Calibri" w:hAnsi="Arial" w:cs="Arial"/>
                <w:b/>
                <w:bCs/>
                <w:sz w:val="16"/>
                <w:szCs w:val="16"/>
                <w:lang w:val="hr-HR"/>
              </w:rPr>
            </w:pPr>
            <w:r w:rsidRPr="003D2346">
              <w:rPr>
                <w:rFonts w:ascii="Arial" w:eastAsia="Calibri" w:hAnsi="Arial" w:cs="Arial"/>
                <w:b/>
                <w:bCs/>
                <w:sz w:val="16"/>
                <w:szCs w:val="16"/>
                <w:lang w:val="hr-HR"/>
              </w:rPr>
              <w:t>17,76%</w:t>
            </w:r>
          </w:p>
        </w:tc>
      </w:tr>
    </w:tbl>
    <w:p w:rsidR="003D2346" w:rsidRPr="003D2346" w:rsidRDefault="003D2346" w:rsidP="003D2346">
      <w:pPr>
        <w:spacing w:after="160" w:line="259" w:lineRule="auto"/>
        <w:ind w:right="4932"/>
        <w:rPr>
          <w:rFonts w:ascii="Arial" w:eastAsia="Calibri" w:hAnsi="Arial" w:cs="Arial"/>
          <w:lang w:val="hr-HR"/>
        </w:rPr>
      </w:pP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24"/>
          <w:szCs w:val="24"/>
          <w:lang w:val="hr-HR"/>
        </w:rPr>
      </w:pPr>
      <w:r w:rsidRPr="003D2346">
        <w:rPr>
          <w:rFonts w:ascii="Cambria" w:eastAsia="Times New Roman" w:hAnsi="Cambria" w:cs="Times New Roman"/>
          <w:color w:val="365F91"/>
          <w:sz w:val="24"/>
          <w:szCs w:val="24"/>
          <w:lang w:val="hr-HR"/>
        </w:rPr>
        <w:t>3.RASHODI PREMA FUNKCIJSKOJ KLASIFIKACIJI</w:t>
      </w:r>
    </w:p>
    <w:p w:rsidR="003D2346" w:rsidRPr="003D2346" w:rsidRDefault="003D2346" w:rsidP="003D2346">
      <w:pPr>
        <w:spacing w:after="160" w:line="259" w:lineRule="auto"/>
        <w:rPr>
          <w:rFonts w:ascii="Calibri" w:eastAsia="Calibri" w:hAnsi="Calibri" w:cs="Times New Roman"/>
          <w:lang w:val="hr-HR"/>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1151"/>
        <w:gridCol w:w="1261"/>
        <w:gridCol w:w="1275"/>
        <w:gridCol w:w="851"/>
        <w:gridCol w:w="992"/>
      </w:tblGrid>
      <w:tr w:rsidR="003D2346" w:rsidRPr="003D2346" w:rsidTr="008D5134">
        <w:trPr>
          <w:trHeight w:val="264"/>
        </w:trPr>
        <w:tc>
          <w:tcPr>
            <w:tcW w:w="3678"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Račun/Opis</w:t>
            </w:r>
          </w:p>
        </w:tc>
        <w:tc>
          <w:tcPr>
            <w:tcW w:w="1149"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2021</w:t>
            </w:r>
          </w:p>
        </w:tc>
        <w:tc>
          <w:tcPr>
            <w:tcW w:w="1261"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1275"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851"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3/1</w:t>
            </w:r>
          </w:p>
        </w:tc>
        <w:tc>
          <w:tcPr>
            <w:tcW w:w="992"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3/2</w:t>
            </w:r>
          </w:p>
        </w:tc>
      </w:tr>
      <w:tr w:rsidR="003D2346" w:rsidRPr="003D2346" w:rsidTr="008D5134">
        <w:trPr>
          <w:trHeight w:val="264"/>
        </w:trPr>
        <w:tc>
          <w:tcPr>
            <w:tcW w:w="3678"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149"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w:t>
            </w:r>
          </w:p>
        </w:tc>
        <w:tc>
          <w:tcPr>
            <w:tcW w:w="1261"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w:t>
            </w:r>
          </w:p>
        </w:tc>
        <w:tc>
          <w:tcPr>
            <w:tcW w:w="1275"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w:t>
            </w:r>
          </w:p>
        </w:tc>
        <w:tc>
          <w:tcPr>
            <w:tcW w:w="851"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w:t>
            </w:r>
          </w:p>
        </w:tc>
        <w:tc>
          <w:tcPr>
            <w:tcW w:w="992"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Funkcijska klasifikacija  SVEUKUPNI RASHODI</w:t>
            </w:r>
          </w:p>
        </w:tc>
        <w:tc>
          <w:tcPr>
            <w:tcW w:w="114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1.749.561,43</w:t>
            </w:r>
          </w:p>
        </w:tc>
        <w:tc>
          <w:tcPr>
            <w:tcW w:w="1261"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2.693.386,07</w:t>
            </w:r>
          </w:p>
        </w:tc>
        <w:tc>
          <w:tcPr>
            <w:tcW w:w="1275"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2.251.065,92</w:t>
            </w:r>
          </w:p>
        </w:tc>
        <w:tc>
          <w:tcPr>
            <w:tcW w:w="851"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128,66%</w:t>
            </w:r>
          </w:p>
        </w:tc>
        <w:tc>
          <w:tcPr>
            <w:tcW w:w="992"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83,58%</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04 Ekonomski poslovi</w:t>
            </w:r>
          </w:p>
        </w:tc>
        <w:tc>
          <w:tcPr>
            <w:tcW w:w="114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313.463,34</w:t>
            </w:r>
          </w:p>
        </w:tc>
        <w:tc>
          <w:tcPr>
            <w:tcW w:w="1261"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566.901,07</w:t>
            </w:r>
          </w:p>
        </w:tc>
        <w:tc>
          <w:tcPr>
            <w:tcW w:w="1275"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478.941,44</w:t>
            </w:r>
          </w:p>
        </w:tc>
        <w:tc>
          <w:tcPr>
            <w:tcW w:w="851"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152,79%</w:t>
            </w:r>
          </w:p>
        </w:tc>
        <w:tc>
          <w:tcPr>
            <w:tcW w:w="992"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84,48%</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041 Opći ekonomski, trgovački i poslovi vezani uz rad</w:t>
            </w:r>
          </w:p>
        </w:tc>
        <w:tc>
          <w:tcPr>
            <w:tcW w:w="114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313.463,34</w:t>
            </w:r>
          </w:p>
        </w:tc>
        <w:tc>
          <w:tcPr>
            <w:tcW w:w="1261"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566.901,07</w:t>
            </w:r>
          </w:p>
        </w:tc>
        <w:tc>
          <w:tcPr>
            <w:tcW w:w="1275"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478.941,44</w:t>
            </w:r>
          </w:p>
        </w:tc>
        <w:tc>
          <w:tcPr>
            <w:tcW w:w="851"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152,79%</w:t>
            </w:r>
          </w:p>
        </w:tc>
        <w:tc>
          <w:tcPr>
            <w:tcW w:w="992"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84,48%</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09 Obrazovanje</w:t>
            </w:r>
          </w:p>
        </w:tc>
        <w:tc>
          <w:tcPr>
            <w:tcW w:w="114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1.436.098,09</w:t>
            </w:r>
          </w:p>
        </w:tc>
        <w:tc>
          <w:tcPr>
            <w:tcW w:w="1261"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2.126.485,00</w:t>
            </w:r>
          </w:p>
        </w:tc>
        <w:tc>
          <w:tcPr>
            <w:tcW w:w="1275"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1.772.124,48</w:t>
            </w:r>
          </w:p>
        </w:tc>
        <w:tc>
          <w:tcPr>
            <w:tcW w:w="851"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123,40%</w:t>
            </w:r>
          </w:p>
        </w:tc>
        <w:tc>
          <w:tcPr>
            <w:tcW w:w="992"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83,34%</w:t>
            </w:r>
          </w:p>
        </w:tc>
      </w:tr>
      <w:tr w:rsidR="003D2346" w:rsidRPr="003D2346" w:rsidTr="008D5134">
        <w:trPr>
          <w:trHeight w:val="264"/>
        </w:trPr>
        <w:tc>
          <w:tcPr>
            <w:tcW w:w="3678"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Funkcijska klasifikacija 091 Predškolsko i osnovno obrazovanje</w:t>
            </w:r>
          </w:p>
        </w:tc>
        <w:tc>
          <w:tcPr>
            <w:tcW w:w="114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1.436.098,09</w:t>
            </w:r>
          </w:p>
        </w:tc>
        <w:tc>
          <w:tcPr>
            <w:tcW w:w="1261"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2.126.485,00</w:t>
            </w:r>
          </w:p>
        </w:tc>
        <w:tc>
          <w:tcPr>
            <w:tcW w:w="1275"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1.772.124,48</w:t>
            </w:r>
          </w:p>
        </w:tc>
        <w:tc>
          <w:tcPr>
            <w:tcW w:w="851"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123,40%</w:t>
            </w:r>
          </w:p>
        </w:tc>
        <w:tc>
          <w:tcPr>
            <w:tcW w:w="992"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000000"/>
                <w:sz w:val="16"/>
                <w:szCs w:val="16"/>
                <w:lang w:val="hr-HR" w:eastAsia="hr-HR"/>
              </w:rPr>
            </w:pPr>
            <w:r w:rsidRPr="003D2346">
              <w:rPr>
                <w:rFonts w:ascii="Arial" w:eastAsia="Times New Roman" w:hAnsi="Arial" w:cs="Arial"/>
                <w:b/>
                <w:bCs/>
                <w:color w:val="000000"/>
                <w:sz w:val="16"/>
                <w:szCs w:val="16"/>
                <w:lang w:val="hr-HR" w:eastAsia="hr-HR"/>
              </w:rPr>
              <w:t>83,34%</w:t>
            </w:r>
          </w:p>
        </w:tc>
      </w:tr>
    </w:tbl>
    <w:p w:rsidR="003D2346" w:rsidRPr="003D2346" w:rsidRDefault="003D2346" w:rsidP="003D2346">
      <w:pPr>
        <w:spacing w:after="160" w:line="259" w:lineRule="auto"/>
        <w:ind w:right="4932"/>
        <w:rPr>
          <w:rFonts w:ascii="Arial" w:eastAsia="Calibri" w:hAnsi="Arial" w:cs="Arial"/>
          <w:lang w:val="hr-HR"/>
        </w:rPr>
      </w:pPr>
    </w:p>
    <w:p w:rsidR="003D2346" w:rsidRPr="003D2346" w:rsidRDefault="003D2346" w:rsidP="003D2346">
      <w:pPr>
        <w:spacing w:after="160" w:line="259" w:lineRule="auto"/>
        <w:rPr>
          <w:rFonts w:ascii="Times New Roman" w:eastAsia="Calibri" w:hAnsi="Times New Roman" w:cs="Times New Roman"/>
          <w:b/>
          <w:sz w:val="24"/>
          <w:szCs w:val="24"/>
          <w:lang w:val="hr-HR"/>
        </w:rPr>
      </w:pPr>
      <w:r w:rsidRPr="003D2346">
        <w:rPr>
          <w:rFonts w:ascii="Times New Roman" w:eastAsia="Calibri" w:hAnsi="Times New Roman" w:cs="Times New Roman"/>
          <w:b/>
          <w:sz w:val="24"/>
          <w:szCs w:val="24"/>
          <w:lang w:val="hr-HR"/>
        </w:rPr>
        <w:t>B. RAČUN FINANCIRANJA</w:t>
      </w: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24"/>
          <w:szCs w:val="24"/>
          <w:lang w:val="hr-HR"/>
        </w:rPr>
      </w:pPr>
      <w:r w:rsidRPr="003D2346">
        <w:rPr>
          <w:rFonts w:ascii="Cambria" w:eastAsia="Times New Roman" w:hAnsi="Cambria" w:cs="Times New Roman"/>
          <w:color w:val="365F91"/>
          <w:sz w:val="24"/>
          <w:szCs w:val="24"/>
          <w:lang w:val="hr-HR"/>
        </w:rPr>
        <w:t xml:space="preserve">1. RAČUN FINANCIRANJA PREMA EKONOMSKOJ KLASIFIKACIJI </w:t>
      </w:r>
    </w:p>
    <w:p w:rsidR="003D2346" w:rsidRPr="003D2346" w:rsidRDefault="003D2346" w:rsidP="003D2346">
      <w:pPr>
        <w:spacing w:after="160" w:line="259" w:lineRule="auto"/>
        <w:rPr>
          <w:rFonts w:ascii="Calibri" w:eastAsia="Calibri" w:hAnsi="Calibri" w:cs="Times New Roman"/>
          <w:lang w:val="hr-HR"/>
        </w:rPr>
      </w:pPr>
    </w:p>
    <w:tbl>
      <w:tblPr>
        <w:tblW w:w="9923" w:type="dxa"/>
        <w:tblInd w:w="-5" w:type="dxa"/>
        <w:tblLook w:val="04A0" w:firstRow="1" w:lastRow="0" w:firstColumn="1" w:lastColumn="0" w:noHBand="0" w:noVBand="1"/>
      </w:tblPr>
      <w:tblGrid>
        <w:gridCol w:w="4820"/>
        <w:gridCol w:w="992"/>
        <w:gridCol w:w="1276"/>
        <w:gridCol w:w="992"/>
        <w:gridCol w:w="992"/>
        <w:gridCol w:w="851"/>
      </w:tblGrid>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Račun/Opis</w:t>
            </w:r>
          </w:p>
        </w:tc>
        <w:tc>
          <w:tcPr>
            <w:tcW w:w="992"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Izvršenje 2021</w:t>
            </w:r>
          </w:p>
        </w:tc>
        <w:tc>
          <w:tcPr>
            <w:tcW w:w="1276"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Izvorni plan 2022</w:t>
            </w:r>
          </w:p>
        </w:tc>
        <w:tc>
          <w:tcPr>
            <w:tcW w:w="992"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Izvršenje 2022</w:t>
            </w:r>
          </w:p>
        </w:tc>
        <w:tc>
          <w:tcPr>
            <w:tcW w:w="992"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Indeks 4/1</w:t>
            </w:r>
          </w:p>
        </w:tc>
        <w:tc>
          <w:tcPr>
            <w:tcW w:w="851"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Indeks 4/3</w:t>
            </w:r>
          </w:p>
        </w:tc>
      </w:tr>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B. RAČUN ZADUŽIVANJA FINANCIRANJA</w:t>
            </w:r>
          </w:p>
        </w:tc>
        <w:tc>
          <w:tcPr>
            <w:tcW w:w="992"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1</w:t>
            </w:r>
          </w:p>
        </w:tc>
        <w:tc>
          <w:tcPr>
            <w:tcW w:w="1276"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2</w:t>
            </w:r>
          </w:p>
        </w:tc>
        <w:tc>
          <w:tcPr>
            <w:tcW w:w="992"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4</w:t>
            </w:r>
          </w:p>
        </w:tc>
        <w:tc>
          <w:tcPr>
            <w:tcW w:w="992"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5</w:t>
            </w:r>
          </w:p>
        </w:tc>
        <w:tc>
          <w:tcPr>
            <w:tcW w:w="851"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center"/>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6</w:t>
            </w:r>
          </w:p>
        </w:tc>
      </w:tr>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xml:space="preserve"> NETO FINANCIRANJE</w:t>
            </w:r>
          </w:p>
        </w:tc>
        <w:tc>
          <w:tcPr>
            <w:tcW w:w="992"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c>
          <w:tcPr>
            <w:tcW w:w="1276" w:type="dxa"/>
            <w:tcBorders>
              <w:top w:val="nil"/>
              <w:left w:val="nil"/>
              <w:bottom w:val="single" w:sz="4" w:space="0" w:color="auto"/>
              <w:right w:val="nil"/>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Calibri" w:hAnsi="Arial" w:cs="Arial"/>
                <w:b/>
                <w:bCs/>
                <w:color w:val="FFFFFF"/>
                <w:kern w:val="2"/>
                <w:sz w:val="16"/>
                <w:szCs w:val="16"/>
                <w:lang w:val="hr-HR"/>
                <w14:ligatures w14:val="standardContextual"/>
              </w:rPr>
              <w:t>11.401,07</w:t>
            </w:r>
          </w:p>
        </w:tc>
        <w:tc>
          <w:tcPr>
            <w:tcW w:w="992"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c>
          <w:tcPr>
            <w:tcW w:w="992"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c>
          <w:tcPr>
            <w:tcW w:w="851"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r>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noWrap/>
            <w:vAlign w:val="bottom"/>
            <w:hideMark/>
          </w:tcPr>
          <w:p w:rsidR="003D2346" w:rsidRPr="003D2346" w:rsidRDefault="003D2346" w:rsidP="003D2346">
            <w:pPr>
              <w:spacing w:after="0" w:line="240" w:lineRule="auto"/>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xml:space="preserve">9 Vlastiti izvori                                                                                     </w:t>
            </w:r>
          </w:p>
        </w:tc>
        <w:tc>
          <w:tcPr>
            <w:tcW w:w="992"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1276"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Calibri" w:hAnsi="Arial" w:cs="Arial"/>
                <w:b/>
                <w:bCs/>
                <w:kern w:val="2"/>
                <w:sz w:val="16"/>
                <w:szCs w:val="16"/>
                <w:lang w:val="hr-HR"/>
                <w14:ligatures w14:val="standardContextual"/>
              </w:rPr>
              <w:t>11.401,07</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992"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851"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r>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noWrap/>
            <w:vAlign w:val="bottom"/>
            <w:hideMark/>
          </w:tcPr>
          <w:p w:rsidR="003D2346" w:rsidRPr="003D2346" w:rsidRDefault="003D2346" w:rsidP="003D2346">
            <w:pPr>
              <w:spacing w:after="0" w:line="240" w:lineRule="auto"/>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xml:space="preserve">92 Rezultat poslovanja                                                                                 </w:t>
            </w:r>
          </w:p>
        </w:tc>
        <w:tc>
          <w:tcPr>
            <w:tcW w:w="992"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1276"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Calibri" w:hAnsi="Arial" w:cs="Arial"/>
                <w:b/>
                <w:bCs/>
                <w:kern w:val="2"/>
                <w:sz w:val="16"/>
                <w:szCs w:val="16"/>
                <w:lang w:val="hr-HR"/>
                <w14:ligatures w14:val="standardContextual"/>
              </w:rPr>
              <w:t>11.401,07</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992"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851"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r>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noWrap/>
            <w:vAlign w:val="bottom"/>
            <w:hideMark/>
          </w:tcPr>
          <w:p w:rsidR="003D2346" w:rsidRPr="003D2346" w:rsidRDefault="003D2346" w:rsidP="003D2346">
            <w:pPr>
              <w:spacing w:after="0" w:line="240" w:lineRule="auto"/>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xml:space="preserve">922 Višak/manjak prihoda                                                                                </w:t>
            </w:r>
          </w:p>
        </w:tc>
        <w:tc>
          <w:tcPr>
            <w:tcW w:w="992"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1276"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Calibri" w:hAnsi="Arial" w:cs="Arial"/>
                <w:b/>
                <w:bCs/>
                <w:kern w:val="2"/>
                <w:sz w:val="16"/>
                <w:szCs w:val="16"/>
                <w:lang w:val="hr-HR"/>
                <w14:ligatures w14:val="standardContextual"/>
              </w:rPr>
              <w:t>11.401,07</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992"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851" w:type="dxa"/>
            <w:tcBorders>
              <w:top w:val="single" w:sz="4" w:space="0" w:color="auto"/>
              <w:left w:val="nil"/>
              <w:bottom w:val="single" w:sz="4" w:space="0" w:color="auto"/>
              <w:right w:val="single" w:sz="4" w:space="0" w:color="auto"/>
            </w:tcBorders>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r>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xml:space="preserve"> KORIŠTENJE SREDSTAVA IZ PRETHODNIH GODINA</w:t>
            </w:r>
          </w:p>
        </w:tc>
        <w:tc>
          <w:tcPr>
            <w:tcW w:w="992"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c>
          <w:tcPr>
            <w:tcW w:w="1276"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Calibri" w:hAnsi="Arial" w:cs="Arial"/>
                <w:b/>
                <w:bCs/>
                <w:color w:val="FFFFFF"/>
                <w:kern w:val="2"/>
                <w:sz w:val="16"/>
                <w:szCs w:val="16"/>
                <w:lang w:val="hr-HR"/>
                <w14:ligatures w14:val="standardContextual"/>
              </w:rPr>
              <w:t>11.401,07</w:t>
            </w:r>
          </w:p>
        </w:tc>
        <w:tc>
          <w:tcPr>
            <w:tcW w:w="992"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c>
          <w:tcPr>
            <w:tcW w:w="992"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c>
          <w:tcPr>
            <w:tcW w:w="851"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r>
    </w:tbl>
    <w:p w:rsidR="003D2346" w:rsidRPr="003D2346" w:rsidRDefault="003D2346" w:rsidP="003D2346">
      <w:pPr>
        <w:spacing w:after="160" w:line="259" w:lineRule="auto"/>
        <w:rPr>
          <w:rFonts w:ascii="Times New Roman" w:eastAsia="Calibri" w:hAnsi="Times New Roman" w:cs="Times New Roman"/>
          <w:b/>
          <w:sz w:val="24"/>
          <w:szCs w:val="24"/>
          <w:lang w:val="hr-HR"/>
        </w:rPr>
      </w:pP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24"/>
          <w:szCs w:val="24"/>
          <w:lang w:val="hr-HR"/>
        </w:rPr>
      </w:pPr>
      <w:r w:rsidRPr="003D2346">
        <w:rPr>
          <w:rFonts w:ascii="Cambria" w:eastAsia="Times New Roman" w:hAnsi="Cambria" w:cs="Times New Roman"/>
          <w:color w:val="365F91"/>
          <w:sz w:val="24"/>
          <w:szCs w:val="24"/>
          <w:lang w:val="hr-HR"/>
        </w:rPr>
        <w:t xml:space="preserve">2. RAČUN FINANCIRANJA PREMA IZVORIMA FINANCIRANJA </w:t>
      </w:r>
    </w:p>
    <w:p w:rsidR="003D2346" w:rsidRPr="003D2346" w:rsidRDefault="003D2346" w:rsidP="003D2346">
      <w:pPr>
        <w:spacing w:after="160" w:line="259" w:lineRule="auto"/>
        <w:rPr>
          <w:rFonts w:ascii="Calibri" w:eastAsia="Calibri" w:hAnsi="Calibri" w:cs="Times New Roman"/>
          <w:lang w:val="hr-HR"/>
        </w:rPr>
      </w:pPr>
    </w:p>
    <w:tbl>
      <w:tblPr>
        <w:tblW w:w="9920" w:type="dxa"/>
        <w:tblInd w:w="-5" w:type="dxa"/>
        <w:tblLook w:val="04A0" w:firstRow="1" w:lastRow="0" w:firstColumn="1" w:lastColumn="0" w:noHBand="0" w:noVBand="1"/>
      </w:tblPr>
      <w:tblGrid>
        <w:gridCol w:w="4820"/>
        <w:gridCol w:w="992"/>
        <w:gridCol w:w="1276"/>
        <w:gridCol w:w="992"/>
        <w:gridCol w:w="851"/>
        <w:gridCol w:w="989"/>
      </w:tblGrid>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Račun / opis</w:t>
            </w:r>
          </w:p>
        </w:tc>
        <w:tc>
          <w:tcPr>
            <w:tcW w:w="992"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Izvršenje 2021.</w:t>
            </w:r>
          </w:p>
        </w:tc>
        <w:tc>
          <w:tcPr>
            <w:tcW w:w="1276"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Izvorni plan 2022.</w:t>
            </w:r>
          </w:p>
        </w:tc>
        <w:tc>
          <w:tcPr>
            <w:tcW w:w="992"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Izvršenje 2022.</w:t>
            </w:r>
          </w:p>
        </w:tc>
        <w:tc>
          <w:tcPr>
            <w:tcW w:w="851"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Indeks  4/1</w:t>
            </w:r>
          </w:p>
        </w:tc>
        <w:tc>
          <w:tcPr>
            <w:tcW w:w="989"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Indeks  4/3</w:t>
            </w:r>
          </w:p>
        </w:tc>
      </w:tr>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B. RAČUN ZADUŽIVANJA FINANCIRANJA</w:t>
            </w:r>
          </w:p>
        </w:tc>
        <w:tc>
          <w:tcPr>
            <w:tcW w:w="992"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1</w:t>
            </w:r>
          </w:p>
        </w:tc>
        <w:tc>
          <w:tcPr>
            <w:tcW w:w="1276"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2</w:t>
            </w:r>
          </w:p>
        </w:tc>
        <w:tc>
          <w:tcPr>
            <w:tcW w:w="992"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4</w:t>
            </w:r>
          </w:p>
        </w:tc>
        <w:tc>
          <w:tcPr>
            <w:tcW w:w="851"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5</w:t>
            </w:r>
          </w:p>
        </w:tc>
        <w:tc>
          <w:tcPr>
            <w:tcW w:w="989" w:type="dxa"/>
            <w:tcBorders>
              <w:top w:val="single" w:sz="4" w:space="0" w:color="auto"/>
              <w:left w:val="nil"/>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6</w:t>
            </w:r>
          </w:p>
        </w:tc>
      </w:tr>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xml:space="preserve"> KORIŠTENJE SREDSTAVA IZ PRETHODNIH GODINA</w:t>
            </w:r>
          </w:p>
        </w:tc>
        <w:tc>
          <w:tcPr>
            <w:tcW w:w="992"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c>
          <w:tcPr>
            <w:tcW w:w="1276" w:type="dxa"/>
            <w:tcBorders>
              <w:top w:val="single" w:sz="4" w:space="0" w:color="auto"/>
              <w:left w:val="nil"/>
              <w:bottom w:val="single" w:sz="4" w:space="0" w:color="auto"/>
              <w:right w:val="single" w:sz="4" w:space="0" w:color="auto"/>
            </w:tcBorders>
            <w:shd w:val="clear" w:color="auto" w:fill="808080"/>
            <w:noWrap/>
            <w:hideMark/>
          </w:tcPr>
          <w:p w:rsidR="003D2346" w:rsidRPr="003D2346" w:rsidRDefault="003D2346" w:rsidP="003D2346">
            <w:pPr>
              <w:spacing w:after="0" w:line="240" w:lineRule="auto"/>
              <w:jc w:val="right"/>
              <w:rPr>
                <w:rFonts w:ascii="Arial" w:eastAsia="Times New Roman" w:hAnsi="Arial" w:cs="Arial"/>
                <w:bCs/>
                <w:color w:val="FFFFFF"/>
                <w:kern w:val="2"/>
                <w:sz w:val="16"/>
                <w:szCs w:val="16"/>
                <w:lang w:val="hr-HR" w:eastAsia="hr-HR"/>
                <w14:ligatures w14:val="standardContextual"/>
              </w:rPr>
            </w:pPr>
            <w:r w:rsidRPr="003D2346">
              <w:rPr>
                <w:rFonts w:ascii="Arial" w:eastAsia="Calibri" w:hAnsi="Arial" w:cs="Arial"/>
                <w:bCs/>
                <w:kern w:val="2"/>
                <w:sz w:val="16"/>
                <w:szCs w:val="16"/>
                <w:lang w:val="hr-HR"/>
                <w14:ligatures w14:val="standardContextual"/>
              </w:rPr>
              <w:t>11.401,07</w:t>
            </w:r>
          </w:p>
        </w:tc>
        <w:tc>
          <w:tcPr>
            <w:tcW w:w="992"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c>
          <w:tcPr>
            <w:tcW w:w="851"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c>
          <w:tcPr>
            <w:tcW w:w="989" w:type="dxa"/>
            <w:tcBorders>
              <w:top w:val="single" w:sz="4" w:space="0" w:color="auto"/>
              <w:left w:val="nil"/>
              <w:bottom w:val="single" w:sz="4" w:space="0" w:color="auto"/>
              <w:right w:val="single" w:sz="4" w:space="0" w:color="auto"/>
            </w:tcBorders>
            <w:shd w:val="clear" w:color="auto" w:fill="808080"/>
            <w:noWrap/>
            <w:vAlign w:val="bottom"/>
            <w:hideMark/>
          </w:tcPr>
          <w:p w:rsidR="003D2346" w:rsidRPr="003D2346" w:rsidRDefault="003D2346" w:rsidP="003D2346">
            <w:pPr>
              <w:spacing w:after="0" w:line="240" w:lineRule="auto"/>
              <w:jc w:val="right"/>
              <w:rPr>
                <w:rFonts w:ascii="Arial" w:eastAsia="Times New Roman" w:hAnsi="Arial" w:cs="Arial"/>
                <w:b/>
                <w:bCs/>
                <w:color w:val="FFFFFF"/>
                <w:kern w:val="2"/>
                <w:sz w:val="16"/>
                <w:szCs w:val="16"/>
                <w:lang w:val="hr-HR" w:eastAsia="hr-HR"/>
                <w14:ligatures w14:val="standardContextual"/>
              </w:rPr>
            </w:pPr>
            <w:r w:rsidRPr="003D2346">
              <w:rPr>
                <w:rFonts w:ascii="Arial" w:eastAsia="Times New Roman" w:hAnsi="Arial" w:cs="Arial"/>
                <w:b/>
                <w:bCs/>
                <w:color w:val="FFFFFF"/>
                <w:kern w:val="2"/>
                <w:sz w:val="16"/>
                <w:szCs w:val="16"/>
                <w:lang w:val="hr-HR" w:eastAsia="hr-HR"/>
                <w14:ligatures w14:val="standardContextual"/>
              </w:rPr>
              <w:t> </w:t>
            </w:r>
          </w:p>
        </w:tc>
      </w:tr>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4. Višak prihoda poslovanja</w:t>
            </w:r>
          </w:p>
        </w:tc>
        <w:tc>
          <w:tcPr>
            <w:tcW w:w="992" w:type="dxa"/>
            <w:tcBorders>
              <w:top w:val="single" w:sz="4" w:space="0" w:color="auto"/>
              <w:left w:val="nil"/>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1276" w:type="dxa"/>
            <w:tcBorders>
              <w:top w:val="single" w:sz="4" w:space="0" w:color="auto"/>
              <w:left w:val="nil"/>
              <w:bottom w:val="single" w:sz="4" w:space="0" w:color="auto"/>
              <w:right w:val="single" w:sz="4" w:space="0" w:color="auto"/>
            </w:tcBorders>
            <w:shd w:val="clear" w:color="auto" w:fill="FFFFFF"/>
            <w:noWrap/>
            <w:hideMark/>
          </w:tcPr>
          <w:p w:rsidR="003D2346" w:rsidRPr="003D2346" w:rsidRDefault="003D2346" w:rsidP="003D2346">
            <w:pPr>
              <w:spacing w:after="0" w:line="240" w:lineRule="auto"/>
              <w:jc w:val="right"/>
              <w:rPr>
                <w:rFonts w:ascii="Arial" w:eastAsia="Times New Roman" w:hAnsi="Arial" w:cs="Arial"/>
                <w:bCs/>
                <w:kern w:val="2"/>
                <w:sz w:val="16"/>
                <w:szCs w:val="16"/>
                <w:lang w:val="hr-HR" w:eastAsia="hr-HR"/>
                <w14:ligatures w14:val="standardContextual"/>
              </w:rPr>
            </w:pPr>
            <w:r w:rsidRPr="003D2346">
              <w:rPr>
                <w:rFonts w:ascii="Arial" w:eastAsia="Calibri" w:hAnsi="Arial" w:cs="Arial"/>
                <w:bCs/>
                <w:kern w:val="2"/>
                <w:sz w:val="16"/>
                <w:szCs w:val="16"/>
                <w:lang w:val="hr-HR"/>
                <w14:ligatures w14:val="standardContextual"/>
              </w:rPr>
              <w:t>11.401,07</w:t>
            </w:r>
          </w:p>
        </w:tc>
        <w:tc>
          <w:tcPr>
            <w:tcW w:w="99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851" w:type="dxa"/>
            <w:tcBorders>
              <w:top w:val="single" w:sz="4" w:space="0" w:color="auto"/>
              <w:left w:val="nil"/>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989" w:type="dxa"/>
            <w:tcBorders>
              <w:top w:val="single" w:sz="4" w:space="0" w:color="auto"/>
              <w:left w:val="nil"/>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r>
      <w:tr w:rsidR="003D2346" w:rsidRPr="003D2346" w:rsidTr="008D5134">
        <w:trPr>
          <w:trHeight w:val="255"/>
        </w:trPr>
        <w:tc>
          <w:tcPr>
            <w:tcW w:w="482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4.1. Višak prihoda iz prethodnih godina</w:t>
            </w:r>
          </w:p>
        </w:tc>
        <w:tc>
          <w:tcPr>
            <w:tcW w:w="992" w:type="dxa"/>
            <w:tcBorders>
              <w:top w:val="single" w:sz="4" w:space="0" w:color="auto"/>
              <w:left w:val="nil"/>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1276" w:type="dxa"/>
            <w:tcBorders>
              <w:top w:val="single" w:sz="4" w:space="0" w:color="auto"/>
              <w:left w:val="nil"/>
              <w:bottom w:val="single" w:sz="4" w:space="0" w:color="auto"/>
              <w:right w:val="single" w:sz="4" w:space="0" w:color="auto"/>
            </w:tcBorders>
            <w:shd w:val="clear" w:color="auto" w:fill="FFFFFF"/>
            <w:noWrap/>
            <w:hideMark/>
          </w:tcPr>
          <w:p w:rsidR="003D2346" w:rsidRPr="003D2346" w:rsidRDefault="003D2346" w:rsidP="003D2346">
            <w:pPr>
              <w:spacing w:after="0" w:line="240" w:lineRule="auto"/>
              <w:jc w:val="right"/>
              <w:rPr>
                <w:rFonts w:ascii="Arial" w:eastAsia="Times New Roman" w:hAnsi="Arial" w:cs="Arial"/>
                <w:bCs/>
                <w:kern w:val="2"/>
                <w:sz w:val="16"/>
                <w:szCs w:val="16"/>
                <w:lang w:val="hr-HR" w:eastAsia="hr-HR"/>
                <w14:ligatures w14:val="standardContextual"/>
              </w:rPr>
            </w:pPr>
            <w:r w:rsidRPr="003D2346">
              <w:rPr>
                <w:rFonts w:ascii="Arial" w:eastAsia="Calibri" w:hAnsi="Arial" w:cs="Arial"/>
                <w:bCs/>
                <w:kern w:val="2"/>
                <w:sz w:val="16"/>
                <w:szCs w:val="16"/>
                <w:lang w:val="hr-HR"/>
                <w14:ligatures w14:val="standardContextual"/>
              </w:rPr>
              <w:t>11.401,07</w:t>
            </w:r>
          </w:p>
        </w:tc>
        <w:tc>
          <w:tcPr>
            <w:tcW w:w="992" w:type="dxa"/>
            <w:tcBorders>
              <w:top w:val="single" w:sz="4" w:space="0" w:color="auto"/>
              <w:left w:val="nil"/>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851" w:type="dxa"/>
            <w:tcBorders>
              <w:top w:val="single" w:sz="4" w:space="0" w:color="auto"/>
              <w:left w:val="nil"/>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989" w:type="dxa"/>
            <w:tcBorders>
              <w:top w:val="single" w:sz="4" w:space="0" w:color="auto"/>
              <w:left w:val="nil"/>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r>
    </w:tbl>
    <w:p w:rsidR="003D2346" w:rsidRPr="003D2346" w:rsidRDefault="003D2346" w:rsidP="003D2346">
      <w:pPr>
        <w:spacing w:after="160" w:line="259" w:lineRule="auto"/>
        <w:jc w:val="both"/>
        <w:rPr>
          <w:rFonts w:ascii="Times New Roman" w:eastAsia="Calibri" w:hAnsi="Times New Roman" w:cs="Times New Roman"/>
          <w:b/>
          <w:sz w:val="24"/>
          <w:szCs w:val="24"/>
          <w:lang w:val="hr-HR"/>
        </w:rPr>
      </w:pP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24"/>
          <w:szCs w:val="24"/>
          <w:lang w:val="hr-HR"/>
        </w:rPr>
      </w:pPr>
      <w:r w:rsidRPr="003D2346">
        <w:rPr>
          <w:rFonts w:ascii="Cambria" w:eastAsia="Times New Roman" w:hAnsi="Cambria" w:cs="Times New Roman"/>
          <w:color w:val="365F91"/>
          <w:sz w:val="24"/>
          <w:szCs w:val="24"/>
          <w:lang w:val="hr-HR"/>
        </w:rPr>
        <w:t>4.2. POSEBNI DIO PRORAČUNA</w:t>
      </w:r>
    </w:p>
    <w:p w:rsidR="003D2346" w:rsidRPr="003D2346" w:rsidRDefault="003D2346" w:rsidP="003D2346">
      <w:pPr>
        <w:spacing w:after="160" w:line="259" w:lineRule="auto"/>
        <w:jc w:val="both"/>
        <w:rPr>
          <w:rFonts w:ascii="Times New Roman" w:eastAsia="Calibri" w:hAnsi="Times New Roman" w:cs="Times New Roman"/>
          <w:sz w:val="24"/>
          <w:szCs w:val="24"/>
          <w:lang w:val="hr-HR"/>
        </w:rPr>
      </w:pPr>
      <w:r w:rsidRPr="003D2346">
        <w:rPr>
          <w:rFonts w:ascii="Times New Roman" w:eastAsia="Calibri" w:hAnsi="Times New Roman" w:cs="Times New Roman"/>
          <w:sz w:val="24"/>
          <w:szCs w:val="24"/>
          <w:lang w:val="hr-HR"/>
        </w:rPr>
        <w:t xml:space="preserve">Rashodi i izdaci Financijskog plana Dječjeg vrtića „SEGET“ za 2022. godinu iskazani su prema organizacijskoj i programskoj klasifikaciji, izvršeni su kako slijedi: </w:t>
      </w: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24"/>
          <w:szCs w:val="24"/>
          <w:lang w:val="hr-HR"/>
        </w:rPr>
      </w:pPr>
      <w:r w:rsidRPr="003D2346">
        <w:rPr>
          <w:rFonts w:ascii="Cambria" w:eastAsia="Times New Roman" w:hAnsi="Cambria" w:cs="Times New Roman"/>
          <w:color w:val="365F91"/>
          <w:sz w:val="24"/>
          <w:szCs w:val="24"/>
          <w:lang w:val="hr-HR"/>
        </w:rPr>
        <w:t>1.IZVRŠENJE PO ORGANIZACIJSKOJ KLASIFIKACIJI</w:t>
      </w:r>
    </w:p>
    <w:p w:rsidR="003D2346" w:rsidRPr="003D2346" w:rsidRDefault="003D2346" w:rsidP="003D2346">
      <w:pPr>
        <w:spacing w:after="160" w:line="259" w:lineRule="auto"/>
        <w:rPr>
          <w:rFonts w:ascii="Calibri" w:eastAsia="Calibri" w:hAnsi="Calibri" w:cs="Times New Roman"/>
          <w:lang w:val="hr-HR"/>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850"/>
        <w:gridCol w:w="4256"/>
        <w:gridCol w:w="1417"/>
        <w:gridCol w:w="1276"/>
        <w:gridCol w:w="1131"/>
      </w:tblGrid>
      <w:tr w:rsidR="003D2346" w:rsidRPr="003D2346" w:rsidTr="008D5134">
        <w:trPr>
          <w:trHeight w:val="264"/>
        </w:trPr>
        <w:tc>
          <w:tcPr>
            <w:tcW w:w="1835" w:type="dxa"/>
            <w:gridSpan w:val="2"/>
            <w:tcBorders>
              <w:top w:val="single" w:sz="4" w:space="0" w:color="auto"/>
              <w:left w:val="single" w:sz="4" w:space="0" w:color="auto"/>
              <w:bottom w:val="single" w:sz="4" w:space="0" w:color="auto"/>
              <w:right w:val="single" w:sz="4" w:space="0" w:color="auto"/>
            </w:tcBorders>
            <w:shd w:val="clear" w:color="auto" w:fill="969696"/>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RGP</w:t>
            </w:r>
          </w:p>
        </w:tc>
        <w:tc>
          <w:tcPr>
            <w:tcW w:w="4256" w:type="dxa"/>
            <w:tcBorders>
              <w:top w:val="single" w:sz="4" w:space="0" w:color="auto"/>
              <w:left w:val="single" w:sz="4" w:space="0" w:color="auto"/>
              <w:bottom w:val="single" w:sz="4" w:space="0" w:color="auto"/>
              <w:right w:val="single" w:sz="4" w:space="0" w:color="auto"/>
            </w:tcBorders>
            <w:shd w:val="clear" w:color="auto" w:fill="969696"/>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Opis</w:t>
            </w:r>
          </w:p>
        </w:tc>
        <w:tc>
          <w:tcPr>
            <w:tcW w:w="1417" w:type="dxa"/>
            <w:tcBorders>
              <w:top w:val="single" w:sz="4" w:space="0" w:color="auto"/>
              <w:left w:val="single" w:sz="4" w:space="0" w:color="auto"/>
              <w:bottom w:val="single" w:sz="4" w:space="0" w:color="auto"/>
              <w:right w:val="single" w:sz="4" w:space="0" w:color="auto"/>
            </w:tcBorders>
            <w:shd w:val="clear" w:color="auto" w:fill="969696"/>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Izvorni plan 2022</w:t>
            </w:r>
          </w:p>
        </w:tc>
        <w:tc>
          <w:tcPr>
            <w:tcW w:w="1276" w:type="dxa"/>
            <w:tcBorders>
              <w:top w:val="single" w:sz="4" w:space="0" w:color="auto"/>
              <w:left w:val="single" w:sz="4" w:space="0" w:color="auto"/>
              <w:bottom w:val="single" w:sz="4" w:space="0" w:color="auto"/>
              <w:right w:val="single" w:sz="4" w:space="0" w:color="auto"/>
            </w:tcBorders>
            <w:shd w:val="clear" w:color="auto" w:fill="969696"/>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Izvršenje 2022</w:t>
            </w:r>
          </w:p>
        </w:tc>
        <w:tc>
          <w:tcPr>
            <w:tcW w:w="1131" w:type="dxa"/>
            <w:tcBorders>
              <w:top w:val="single" w:sz="4" w:space="0" w:color="auto"/>
              <w:left w:val="single" w:sz="4" w:space="0" w:color="auto"/>
              <w:bottom w:val="single" w:sz="4" w:space="0" w:color="auto"/>
              <w:right w:val="single" w:sz="4" w:space="0" w:color="auto"/>
            </w:tcBorders>
            <w:shd w:val="clear" w:color="auto" w:fill="969696"/>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Indeks 2/1</w:t>
            </w:r>
          </w:p>
        </w:tc>
      </w:tr>
      <w:tr w:rsidR="003D2346" w:rsidRPr="003D2346" w:rsidTr="008D5134">
        <w:trPr>
          <w:trHeight w:val="264"/>
        </w:trPr>
        <w:tc>
          <w:tcPr>
            <w:tcW w:w="1835" w:type="dxa"/>
            <w:gridSpan w:val="2"/>
            <w:tcBorders>
              <w:top w:val="single" w:sz="4" w:space="0" w:color="auto"/>
              <w:left w:val="single" w:sz="4" w:space="0" w:color="auto"/>
              <w:bottom w:val="single" w:sz="4" w:space="0" w:color="auto"/>
              <w:right w:val="single" w:sz="4" w:space="0" w:color="auto"/>
            </w:tcBorders>
            <w:shd w:val="clear" w:color="auto" w:fill="969696"/>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4256" w:type="dxa"/>
            <w:tcBorders>
              <w:top w:val="single" w:sz="4" w:space="0" w:color="auto"/>
              <w:left w:val="single" w:sz="4" w:space="0" w:color="auto"/>
              <w:bottom w:val="single" w:sz="4" w:space="0" w:color="auto"/>
              <w:right w:val="single" w:sz="4" w:space="0" w:color="auto"/>
            </w:tcBorders>
            <w:shd w:val="clear" w:color="auto" w:fill="969696"/>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1417" w:type="dxa"/>
            <w:tcBorders>
              <w:top w:val="single" w:sz="4" w:space="0" w:color="auto"/>
              <w:left w:val="single" w:sz="4" w:space="0" w:color="auto"/>
              <w:bottom w:val="single" w:sz="4" w:space="0" w:color="auto"/>
              <w:right w:val="single" w:sz="4" w:space="0" w:color="auto"/>
            </w:tcBorders>
            <w:shd w:val="clear" w:color="auto" w:fill="969696"/>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1</w:t>
            </w:r>
          </w:p>
        </w:tc>
        <w:tc>
          <w:tcPr>
            <w:tcW w:w="1276" w:type="dxa"/>
            <w:tcBorders>
              <w:top w:val="single" w:sz="4" w:space="0" w:color="auto"/>
              <w:left w:val="single" w:sz="4" w:space="0" w:color="auto"/>
              <w:bottom w:val="single" w:sz="4" w:space="0" w:color="auto"/>
              <w:right w:val="single" w:sz="4" w:space="0" w:color="auto"/>
            </w:tcBorders>
            <w:shd w:val="clear" w:color="auto" w:fill="969696"/>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2</w:t>
            </w:r>
          </w:p>
        </w:tc>
        <w:tc>
          <w:tcPr>
            <w:tcW w:w="1131" w:type="dxa"/>
            <w:tcBorders>
              <w:top w:val="single" w:sz="4" w:space="0" w:color="auto"/>
              <w:left w:val="single" w:sz="4" w:space="0" w:color="auto"/>
              <w:bottom w:val="single" w:sz="4" w:space="0" w:color="auto"/>
              <w:right w:val="single" w:sz="4" w:space="0" w:color="auto"/>
            </w:tcBorders>
            <w:shd w:val="clear" w:color="auto" w:fill="969696"/>
            <w:noWrap/>
            <w:vAlign w:val="bottom"/>
            <w:hideMark/>
          </w:tcPr>
          <w:p w:rsidR="003D2346" w:rsidRPr="003D2346" w:rsidRDefault="003D2346" w:rsidP="003D2346">
            <w:pPr>
              <w:spacing w:after="0" w:line="240" w:lineRule="auto"/>
              <w:jc w:val="center"/>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3</w:t>
            </w:r>
          </w:p>
        </w:tc>
      </w:tr>
      <w:tr w:rsidR="003D2346" w:rsidRPr="003D2346" w:rsidTr="008D5134">
        <w:trPr>
          <w:trHeight w:val="264"/>
        </w:trPr>
        <w:tc>
          <w:tcPr>
            <w:tcW w:w="1835" w:type="dxa"/>
            <w:gridSpan w:val="2"/>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 </w:t>
            </w:r>
          </w:p>
        </w:tc>
        <w:tc>
          <w:tcPr>
            <w:tcW w:w="4256" w:type="dxa"/>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3D2346" w:rsidRPr="003D2346" w:rsidRDefault="003D2346" w:rsidP="003D2346">
            <w:pPr>
              <w:spacing w:after="0" w:line="240" w:lineRule="auto"/>
              <w:rPr>
                <w:rFonts w:ascii="Arial" w:eastAsia="Times New Roman" w:hAnsi="Arial" w:cs="Arial"/>
                <w:b/>
                <w:bCs/>
                <w:kern w:val="2"/>
                <w:sz w:val="16"/>
                <w:szCs w:val="16"/>
                <w:lang w:val="hr-HR" w:eastAsia="hr-HR"/>
                <w14:ligatures w14:val="standardContextual"/>
              </w:rPr>
            </w:pPr>
            <w:r w:rsidRPr="003D2346">
              <w:rPr>
                <w:rFonts w:ascii="Arial" w:eastAsia="Times New Roman" w:hAnsi="Arial" w:cs="Arial"/>
                <w:b/>
                <w:bCs/>
                <w:kern w:val="2"/>
                <w:sz w:val="16"/>
                <w:szCs w:val="16"/>
                <w:lang w:val="hr-HR" w:eastAsia="hr-HR"/>
                <w14:ligatures w14:val="standardContextual"/>
              </w:rPr>
              <w:t>UKUPNO RASHODI I IZDATCI</w:t>
            </w:r>
          </w:p>
        </w:tc>
        <w:tc>
          <w:tcPr>
            <w:tcW w:w="1417" w:type="dxa"/>
            <w:tcBorders>
              <w:top w:val="nil"/>
              <w:left w:val="nil"/>
              <w:bottom w:val="nil"/>
              <w:right w:val="single" w:sz="4" w:space="0" w:color="auto"/>
            </w:tcBorders>
            <w:shd w:val="clear" w:color="auto" w:fill="BFBFBF" w:themeFill="background1" w:themeFillShade="BF"/>
            <w:noWrap/>
            <w:vAlign w:val="bottom"/>
            <w:hideMark/>
          </w:tcPr>
          <w:p w:rsidR="003D2346" w:rsidRPr="003D2346" w:rsidRDefault="003D2346" w:rsidP="003D2346">
            <w:pPr>
              <w:spacing w:after="0" w:line="240" w:lineRule="auto"/>
              <w:jc w:val="right"/>
              <w:rPr>
                <w:rFonts w:ascii="Arial" w:eastAsia="Times New Roman" w:hAnsi="Arial" w:cs="Arial"/>
                <w:b/>
                <w:bCs/>
                <w:color w:val="000000"/>
                <w:kern w:val="2"/>
                <w:sz w:val="16"/>
                <w:szCs w:val="16"/>
                <w:lang w:val="hr-HR" w:eastAsia="hr-HR"/>
                <w14:ligatures w14:val="standardContextual"/>
              </w:rPr>
            </w:pPr>
            <w:r w:rsidRPr="003D2346">
              <w:rPr>
                <w:rFonts w:ascii="Arial" w:eastAsia="Calibri" w:hAnsi="Arial" w:cs="Arial"/>
                <w:b/>
                <w:bCs/>
                <w:color w:val="000000"/>
                <w:kern w:val="2"/>
                <w:sz w:val="16"/>
                <w:szCs w:val="16"/>
                <w:lang w:val="hr-HR"/>
                <w14:ligatures w14:val="standardContextual"/>
              </w:rPr>
              <w:t>2.693.386,07</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D2346" w:rsidRPr="003D2346" w:rsidRDefault="003D2346" w:rsidP="003D2346">
            <w:pPr>
              <w:spacing w:after="0" w:line="240" w:lineRule="auto"/>
              <w:jc w:val="right"/>
              <w:rPr>
                <w:rFonts w:ascii="Arial" w:eastAsia="Times New Roman" w:hAnsi="Arial" w:cs="Arial"/>
                <w:b/>
                <w:bCs/>
                <w:color w:val="000000"/>
                <w:kern w:val="2"/>
                <w:sz w:val="16"/>
                <w:szCs w:val="16"/>
                <w:lang w:val="hr-HR" w:eastAsia="hr-HR"/>
                <w14:ligatures w14:val="standardContextual"/>
              </w:rPr>
            </w:pPr>
            <w:r w:rsidRPr="003D2346">
              <w:rPr>
                <w:rFonts w:ascii="Arial" w:eastAsia="Calibri" w:hAnsi="Arial" w:cs="Arial"/>
                <w:b/>
                <w:bCs/>
                <w:color w:val="000000"/>
                <w:kern w:val="2"/>
                <w:sz w:val="16"/>
                <w:szCs w:val="16"/>
                <w:lang w:val="hr-HR"/>
                <w14:ligatures w14:val="standardContextual"/>
              </w:rPr>
              <w:t>2.251.065,92</w:t>
            </w:r>
          </w:p>
        </w:tc>
        <w:tc>
          <w:tcPr>
            <w:tcW w:w="1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D2346" w:rsidRPr="003D2346" w:rsidRDefault="003D2346" w:rsidP="003D2346">
            <w:pPr>
              <w:spacing w:after="0" w:line="240" w:lineRule="auto"/>
              <w:jc w:val="right"/>
              <w:rPr>
                <w:rFonts w:ascii="Arial" w:eastAsia="Times New Roman" w:hAnsi="Arial" w:cs="Arial"/>
                <w:b/>
                <w:bCs/>
                <w:color w:val="000000"/>
                <w:kern w:val="2"/>
                <w:sz w:val="16"/>
                <w:szCs w:val="16"/>
                <w:lang w:val="hr-HR" w:eastAsia="hr-HR"/>
                <w14:ligatures w14:val="standardContextual"/>
              </w:rPr>
            </w:pPr>
            <w:r w:rsidRPr="003D2346">
              <w:rPr>
                <w:rFonts w:ascii="Arial" w:eastAsia="Calibri" w:hAnsi="Arial" w:cs="Arial"/>
                <w:b/>
                <w:bCs/>
                <w:color w:val="000000"/>
                <w:kern w:val="2"/>
                <w:sz w:val="16"/>
                <w:szCs w:val="16"/>
                <w:lang w:val="hr-HR"/>
                <w14:ligatures w14:val="standardContextual"/>
              </w:rPr>
              <w:t>83,58%</w:t>
            </w:r>
          </w:p>
        </w:tc>
      </w:tr>
      <w:tr w:rsidR="003D2346" w:rsidRPr="003D2346" w:rsidTr="008D5134">
        <w:trPr>
          <w:trHeight w:val="264"/>
        </w:trPr>
        <w:tc>
          <w:tcPr>
            <w:tcW w:w="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rPr>
                <w:rFonts w:ascii="Arial" w:eastAsia="Times New Roman" w:hAnsi="Arial" w:cs="Arial"/>
                <w:b/>
                <w:bCs/>
                <w:color w:val="000000"/>
                <w:kern w:val="2"/>
                <w:sz w:val="16"/>
                <w:szCs w:val="16"/>
                <w:lang w:val="hr-HR" w:eastAsia="hr-HR"/>
                <w14:ligatures w14:val="standardContextual"/>
              </w:rPr>
            </w:pPr>
            <w:r w:rsidRPr="003D2346">
              <w:rPr>
                <w:rFonts w:ascii="Arial" w:eastAsia="Times New Roman" w:hAnsi="Arial" w:cs="Arial"/>
                <w:b/>
                <w:bCs/>
                <w:color w:val="000000"/>
                <w:kern w:val="2"/>
                <w:sz w:val="16"/>
                <w:szCs w:val="16"/>
                <w:lang w:val="hr-HR" w:eastAsia="hr-HR"/>
                <w14:ligatures w14:val="standardContextual"/>
              </w:rPr>
              <w:t>Razdjel</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rPr>
                <w:rFonts w:ascii="Arial" w:eastAsia="Times New Roman" w:hAnsi="Arial" w:cs="Arial"/>
                <w:b/>
                <w:bCs/>
                <w:color w:val="000000"/>
                <w:kern w:val="2"/>
                <w:sz w:val="16"/>
                <w:szCs w:val="16"/>
                <w:lang w:val="hr-HR" w:eastAsia="hr-HR"/>
                <w14:ligatures w14:val="standardContextual"/>
              </w:rPr>
            </w:pPr>
            <w:r w:rsidRPr="003D2346">
              <w:rPr>
                <w:rFonts w:ascii="Arial" w:eastAsia="Times New Roman" w:hAnsi="Arial" w:cs="Arial"/>
                <w:b/>
                <w:bCs/>
                <w:color w:val="000000"/>
                <w:kern w:val="2"/>
                <w:sz w:val="16"/>
                <w:szCs w:val="16"/>
                <w:lang w:val="hr-HR" w:eastAsia="hr-HR"/>
                <w14:ligatures w14:val="standardContextual"/>
              </w:rPr>
              <w:t>001</w:t>
            </w:r>
          </w:p>
        </w:tc>
        <w:tc>
          <w:tcPr>
            <w:tcW w:w="42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rPr>
                <w:rFonts w:ascii="Arial" w:eastAsia="Times New Roman" w:hAnsi="Arial" w:cs="Arial"/>
                <w:b/>
                <w:bCs/>
                <w:color w:val="000000"/>
                <w:kern w:val="2"/>
                <w:sz w:val="16"/>
                <w:szCs w:val="16"/>
                <w:lang w:val="hr-HR" w:eastAsia="hr-HR"/>
                <w14:ligatures w14:val="standardContextual"/>
              </w:rPr>
            </w:pPr>
            <w:r w:rsidRPr="003D2346">
              <w:rPr>
                <w:rFonts w:ascii="Arial" w:eastAsia="Times New Roman" w:hAnsi="Arial" w:cs="Arial"/>
                <w:b/>
                <w:bCs/>
                <w:color w:val="000000"/>
                <w:kern w:val="2"/>
                <w:sz w:val="16"/>
                <w:szCs w:val="16"/>
                <w:lang w:val="hr-HR" w:eastAsia="hr-HR"/>
                <w14:ligatures w14:val="standardContextual"/>
              </w:rPr>
              <w:t>VRTIĆ</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Cs/>
                <w:color w:val="000000"/>
                <w:kern w:val="2"/>
                <w:sz w:val="16"/>
                <w:szCs w:val="16"/>
                <w:lang w:val="hr-HR" w:eastAsia="hr-HR"/>
                <w14:ligatures w14:val="standardContextual"/>
              </w:rPr>
            </w:pPr>
            <w:r w:rsidRPr="003D2346">
              <w:rPr>
                <w:rFonts w:ascii="Arial" w:eastAsia="Calibri" w:hAnsi="Arial" w:cs="Arial"/>
                <w:bCs/>
                <w:color w:val="000000"/>
                <w:kern w:val="2"/>
                <w:sz w:val="16"/>
                <w:szCs w:val="16"/>
                <w:lang w:val="hr-HR"/>
                <w14:ligatures w14:val="standardContextual"/>
              </w:rPr>
              <w:t>2.693.386,07</w:t>
            </w:r>
          </w:p>
        </w:tc>
        <w:tc>
          <w:tcPr>
            <w:tcW w:w="1276" w:type="dxa"/>
            <w:tcBorders>
              <w:top w:val="single" w:sz="4" w:space="0" w:color="auto"/>
              <w:left w:val="nil"/>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Cs/>
                <w:color w:val="000000"/>
                <w:kern w:val="2"/>
                <w:sz w:val="16"/>
                <w:szCs w:val="16"/>
                <w:lang w:val="hr-HR" w:eastAsia="hr-HR"/>
                <w14:ligatures w14:val="standardContextual"/>
              </w:rPr>
            </w:pPr>
            <w:r w:rsidRPr="003D2346">
              <w:rPr>
                <w:rFonts w:ascii="Arial" w:eastAsia="Calibri" w:hAnsi="Arial" w:cs="Arial"/>
                <w:bCs/>
                <w:color w:val="000000"/>
                <w:kern w:val="2"/>
                <w:sz w:val="16"/>
                <w:szCs w:val="16"/>
                <w:lang w:val="hr-HR"/>
                <w14:ligatures w14:val="standardContextual"/>
              </w:rPr>
              <w:t>2.251.065,92</w:t>
            </w:r>
          </w:p>
        </w:tc>
        <w:tc>
          <w:tcPr>
            <w:tcW w:w="113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Cs/>
                <w:color w:val="000000"/>
                <w:kern w:val="2"/>
                <w:sz w:val="16"/>
                <w:szCs w:val="16"/>
                <w:lang w:val="hr-HR" w:eastAsia="hr-HR"/>
                <w14:ligatures w14:val="standardContextual"/>
              </w:rPr>
            </w:pPr>
            <w:r w:rsidRPr="003D2346">
              <w:rPr>
                <w:rFonts w:ascii="Arial" w:eastAsia="Calibri" w:hAnsi="Arial" w:cs="Arial"/>
                <w:b/>
                <w:bCs/>
                <w:kern w:val="2"/>
                <w:sz w:val="16"/>
                <w:szCs w:val="16"/>
                <w:lang w:val="hr-HR"/>
                <w14:ligatures w14:val="standardContextual"/>
              </w:rPr>
              <w:t>83,58%</w:t>
            </w:r>
          </w:p>
        </w:tc>
      </w:tr>
      <w:tr w:rsidR="003D2346" w:rsidRPr="003D2346" w:rsidTr="008D5134">
        <w:trPr>
          <w:trHeight w:val="264"/>
        </w:trPr>
        <w:tc>
          <w:tcPr>
            <w:tcW w:w="98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rPr>
                <w:rFonts w:ascii="Arial" w:eastAsia="Times New Roman" w:hAnsi="Arial" w:cs="Arial"/>
                <w:b/>
                <w:bCs/>
                <w:color w:val="000000"/>
                <w:kern w:val="2"/>
                <w:sz w:val="16"/>
                <w:szCs w:val="16"/>
                <w:lang w:val="hr-HR" w:eastAsia="hr-HR"/>
                <w14:ligatures w14:val="standardContextual"/>
              </w:rPr>
            </w:pPr>
            <w:r w:rsidRPr="003D2346">
              <w:rPr>
                <w:rFonts w:ascii="Arial" w:eastAsia="Times New Roman" w:hAnsi="Arial" w:cs="Arial"/>
                <w:b/>
                <w:bCs/>
                <w:color w:val="000000"/>
                <w:kern w:val="2"/>
                <w:sz w:val="16"/>
                <w:szCs w:val="16"/>
                <w:lang w:val="hr-HR" w:eastAsia="hr-HR"/>
                <w14:ligatures w14:val="standardContextual"/>
              </w:rPr>
              <w:t>Glava</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rPr>
                <w:rFonts w:ascii="Arial" w:eastAsia="Times New Roman" w:hAnsi="Arial" w:cs="Arial"/>
                <w:b/>
                <w:bCs/>
                <w:color w:val="000000"/>
                <w:kern w:val="2"/>
                <w:sz w:val="16"/>
                <w:szCs w:val="16"/>
                <w:lang w:val="hr-HR" w:eastAsia="hr-HR"/>
                <w14:ligatures w14:val="standardContextual"/>
              </w:rPr>
            </w:pPr>
            <w:r w:rsidRPr="003D2346">
              <w:rPr>
                <w:rFonts w:ascii="Arial" w:eastAsia="Times New Roman" w:hAnsi="Arial" w:cs="Arial"/>
                <w:b/>
                <w:bCs/>
                <w:color w:val="000000"/>
                <w:kern w:val="2"/>
                <w:sz w:val="16"/>
                <w:szCs w:val="16"/>
                <w:lang w:val="hr-HR" w:eastAsia="hr-HR"/>
                <w14:ligatures w14:val="standardContextual"/>
              </w:rPr>
              <w:t>00101</w:t>
            </w:r>
          </w:p>
        </w:tc>
        <w:tc>
          <w:tcPr>
            <w:tcW w:w="425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rPr>
                <w:rFonts w:ascii="Arial" w:eastAsia="Times New Roman" w:hAnsi="Arial" w:cs="Arial"/>
                <w:b/>
                <w:bCs/>
                <w:color w:val="000000"/>
                <w:kern w:val="2"/>
                <w:sz w:val="16"/>
                <w:szCs w:val="16"/>
                <w:lang w:val="hr-HR" w:eastAsia="hr-HR"/>
                <w14:ligatures w14:val="standardContextual"/>
              </w:rPr>
            </w:pPr>
            <w:r w:rsidRPr="003D2346">
              <w:rPr>
                <w:rFonts w:ascii="Arial" w:eastAsia="Times New Roman" w:hAnsi="Arial" w:cs="Arial"/>
                <w:b/>
                <w:bCs/>
                <w:color w:val="000000"/>
                <w:kern w:val="2"/>
                <w:sz w:val="16"/>
                <w:szCs w:val="16"/>
                <w:lang w:val="hr-HR" w:eastAsia="hr-HR"/>
                <w14:ligatures w14:val="standardContextual"/>
              </w:rPr>
              <w:t>TRATINČICA</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Cs/>
                <w:color w:val="000000"/>
                <w:kern w:val="2"/>
                <w:sz w:val="16"/>
                <w:szCs w:val="16"/>
                <w:lang w:val="hr-HR" w:eastAsia="hr-HR"/>
                <w14:ligatures w14:val="standardContextual"/>
              </w:rPr>
            </w:pPr>
            <w:r w:rsidRPr="003D2346">
              <w:rPr>
                <w:rFonts w:ascii="Arial" w:eastAsia="Calibri" w:hAnsi="Arial" w:cs="Arial"/>
                <w:bCs/>
                <w:color w:val="000000"/>
                <w:kern w:val="2"/>
                <w:sz w:val="16"/>
                <w:szCs w:val="16"/>
                <w:lang w:val="hr-HR"/>
                <w14:ligatures w14:val="standardContextual"/>
              </w:rPr>
              <w:t>2.693.386,07</w:t>
            </w:r>
          </w:p>
        </w:tc>
        <w:tc>
          <w:tcPr>
            <w:tcW w:w="1276" w:type="dxa"/>
            <w:tcBorders>
              <w:top w:val="single" w:sz="4" w:space="0" w:color="auto"/>
              <w:left w:val="nil"/>
              <w:bottom w:val="single" w:sz="4" w:space="0" w:color="auto"/>
              <w:right w:val="nil"/>
            </w:tcBorders>
            <w:shd w:val="clear" w:color="auto" w:fill="FFFFFF"/>
            <w:noWrap/>
            <w:vAlign w:val="bottom"/>
            <w:hideMark/>
          </w:tcPr>
          <w:p w:rsidR="003D2346" w:rsidRPr="003D2346" w:rsidRDefault="003D2346" w:rsidP="003D2346">
            <w:pPr>
              <w:spacing w:after="0" w:line="240" w:lineRule="auto"/>
              <w:jc w:val="right"/>
              <w:rPr>
                <w:rFonts w:ascii="Arial" w:eastAsia="Times New Roman" w:hAnsi="Arial" w:cs="Arial"/>
                <w:bCs/>
                <w:color w:val="000000"/>
                <w:kern w:val="2"/>
                <w:sz w:val="16"/>
                <w:szCs w:val="16"/>
                <w:lang w:val="hr-HR" w:eastAsia="hr-HR"/>
                <w14:ligatures w14:val="standardContextual"/>
              </w:rPr>
            </w:pPr>
            <w:r w:rsidRPr="003D2346">
              <w:rPr>
                <w:rFonts w:ascii="Arial" w:eastAsia="Calibri" w:hAnsi="Arial" w:cs="Arial"/>
                <w:bCs/>
                <w:color w:val="000000"/>
                <w:kern w:val="2"/>
                <w:sz w:val="16"/>
                <w:szCs w:val="16"/>
                <w:lang w:val="hr-HR"/>
                <w14:ligatures w14:val="standardContextual"/>
              </w:rPr>
              <w:t>2.251.065,92</w:t>
            </w:r>
          </w:p>
        </w:tc>
        <w:tc>
          <w:tcPr>
            <w:tcW w:w="113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3D2346" w:rsidRPr="003D2346" w:rsidRDefault="003D2346" w:rsidP="003D2346">
            <w:pPr>
              <w:spacing w:after="0" w:line="240" w:lineRule="auto"/>
              <w:jc w:val="right"/>
              <w:rPr>
                <w:rFonts w:ascii="Arial" w:eastAsia="Calibri" w:hAnsi="Arial" w:cs="Arial"/>
                <w:b/>
                <w:bCs/>
                <w:kern w:val="2"/>
                <w:sz w:val="16"/>
                <w:szCs w:val="16"/>
                <w:lang w:val="hr-HR"/>
                <w14:ligatures w14:val="standardContextual"/>
              </w:rPr>
            </w:pPr>
            <w:r w:rsidRPr="003D2346">
              <w:rPr>
                <w:rFonts w:ascii="Arial" w:eastAsia="Calibri" w:hAnsi="Arial" w:cs="Arial"/>
                <w:b/>
                <w:bCs/>
                <w:kern w:val="2"/>
                <w:sz w:val="16"/>
                <w:szCs w:val="16"/>
                <w:lang w:val="hr-HR"/>
                <w14:ligatures w14:val="standardContextual"/>
              </w:rPr>
              <w:t>83,58%</w:t>
            </w:r>
          </w:p>
        </w:tc>
      </w:tr>
    </w:tbl>
    <w:p w:rsidR="003D2346" w:rsidRPr="003D2346" w:rsidRDefault="003D2346" w:rsidP="003D2346">
      <w:pPr>
        <w:keepNext/>
        <w:spacing w:after="0" w:line="240" w:lineRule="auto"/>
        <w:outlineLvl w:val="1"/>
        <w:rPr>
          <w:rFonts w:ascii="Times New Roman" w:eastAsia="Times New Roman" w:hAnsi="Times New Roman" w:cs="Times New Roman"/>
          <w:b/>
          <w:bCs/>
          <w:sz w:val="24"/>
          <w:szCs w:val="24"/>
          <w:lang w:val="hr-HR"/>
        </w:rPr>
      </w:pPr>
    </w:p>
    <w:p w:rsidR="003D2346" w:rsidRPr="003D2346" w:rsidRDefault="003D2346" w:rsidP="003D2346">
      <w:pPr>
        <w:keepNext/>
        <w:keepLines/>
        <w:spacing w:before="240" w:after="0" w:line="259" w:lineRule="auto"/>
        <w:outlineLvl w:val="0"/>
        <w:rPr>
          <w:rFonts w:ascii="Cambria" w:eastAsia="Times New Roman" w:hAnsi="Cambria" w:cs="Times New Roman"/>
          <w:bCs/>
          <w:color w:val="365F91"/>
          <w:sz w:val="24"/>
          <w:szCs w:val="24"/>
          <w:lang w:val="hr-HR"/>
        </w:rPr>
      </w:pPr>
      <w:r w:rsidRPr="003D2346">
        <w:rPr>
          <w:rFonts w:ascii="Cambria" w:eastAsia="Times New Roman" w:hAnsi="Cambria" w:cs="Times New Roman"/>
          <w:color w:val="365F91"/>
          <w:sz w:val="24"/>
          <w:szCs w:val="24"/>
          <w:lang w:val="hr-HR"/>
        </w:rPr>
        <w:t>2. RASHODI PREMA PROGRAMSKOJ KLASIFIKACIJI</w:t>
      </w:r>
    </w:p>
    <w:p w:rsidR="003D2346" w:rsidRPr="003D2346" w:rsidRDefault="003D2346" w:rsidP="003D2346">
      <w:pPr>
        <w:spacing w:after="160" w:line="259" w:lineRule="auto"/>
        <w:rPr>
          <w:rFonts w:ascii="Arial" w:eastAsia="Calibri" w:hAnsi="Arial" w:cs="Arial"/>
          <w:lang w:val="hr-H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076"/>
        <w:gridCol w:w="3829"/>
        <w:gridCol w:w="1559"/>
        <w:gridCol w:w="1276"/>
        <w:gridCol w:w="1134"/>
      </w:tblGrid>
      <w:tr w:rsidR="003D2346" w:rsidRPr="003D2346" w:rsidTr="008D5134">
        <w:trPr>
          <w:trHeight w:val="264"/>
        </w:trPr>
        <w:tc>
          <w:tcPr>
            <w:tcW w:w="1044" w:type="dxa"/>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4905" w:type="dxa"/>
            <w:gridSpan w:val="2"/>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Organizacijska klasifikacija</w:t>
            </w:r>
          </w:p>
        </w:tc>
        <w:tc>
          <w:tcPr>
            <w:tcW w:w="1559"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76"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134"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1044" w:type="dxa"/>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4905" w:type="dxa"/>
            <w:gridSpan w:val="2"/>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Izvori</w:t>
            </w:r>
          </w:p>
        </w:tc>
        <w:tc>
          <w:tcPr>
            <w:tcW w:w="1559"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276"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134"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r>
      <w:tr w:rsidR="003D2346" w:rsidRPr="003D2346" w:rsidTr="008D5134">
        <w:trPr>
          <w:trHeight w:val="264"/>
        </w:trPr>
        <w:tc>
          <w:tcPr>
            <w:tcW w:w="1044" w:type="dxa"/>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Funkcijska</w:t>
            </w:r>
          </w:p>
        </w:tc>
        <w:tc>
          <w:tcPr>
            <w:tcW w:w="1076" w:type="dxa"/>
            <w:shd w:val="clear" w:color="000000" w:fill="969696"/>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Projekt/</w:t>
            </w:r>
          </w:p>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w:t>
            </w:r>
          </w:p>
        </w:tc>
        <w:tc>
          <w:tcPr>
            <w:tcW w:w="3829"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VRSTA RASHODA I IZDATAKA</w:t>
            </w:r>
          </w:p>
        </w:tc>
        <w:tc>
          <w:tcPr>
            <w:tcW w:w="1559"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Izvorni plan 2022</w:t>
            </w:r>
          </w:p>
        </w:tc>
        <w:tc>
          <w:tcPr>
            <w:tcW w:w="1276"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Izvršenje 2022</w:t>
            </w:r>
          </w:p>
        </w:tc>
        <w:tc>
          <w:tcPr>
            <w:tcW w:w="1134"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Indeks 2/1</w:t>
            </w:r>
          </w:p>
        </w:tc>
      </w:tr>
      <w:tr w:rsidR="003D2346" w:rsidRPr="003D2346" w:rsidTr="008D5134">
        <w:trPr>
          <w:trHeight w:val="264"/>
        </w:trPr>
        <w:tc>
          <w:tcPr>
            <w:tcW w:w="5949" w:type="dxa"/>
            <w:gridSpan w:val="3"/>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559"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w:t>
            </w:r>
          </w:p>
        </w:tc>
        <w:tc>
          <w:tcPr>
            <w:tcW w:w="1276"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w:t>
            </w:r>
          </w:p>
        </w:tc>
        <w:tc>
          <w:tcPr>
            <w:tcW w:w="1134" w:type="dxa"/>
            <w:shd w:val="clear" w:color="000000" w:fill="969696"/>
            <w:noWrap/>
            <w:vAlign w:val="bottom"/>
            <w:hideMark/>
          </w:tcPr>
          <w:p w:rsidR="003D2346" w:rsidRPr="003D2346" w:rsidRDefault="003D2346" w:rsidP="003D2346">
            <w:pPr>
              <w:spacing w:after="0" w:line="240" w:lineRule="auto"/>
              <w:jc w:val="center"/>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UKUPNO RASHODI I IZDATCI</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2.693.386,07</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2.251.065,92</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FFFFFF"/>
                <w:sz w:val="16"/>
                <w:szCs w:val="16"/>
                <w:lang w:val="hr-HR" w:eastAsia="hr-HR"/>
              </w:rPr>
            </w:pPr>
            <w:r w:rsidRPr="003D2346">
              <w:rPr>
                <w:rFonts w:ascii="Arial" w:eastAsia="Times New Roman" w:hAnsi="Arial" w:cs="Arial"/>
                <w:b/>
                <w:bCs/>
                <w:color w:val="FFFFFF"/>
                <w:sz w:val="16"/>
                <w:szCs w:val="16"/>
                <w:lang w:val="hr-HR" w:eastAsia="hr-HR"/>
              </w:rPr>
              <w:t>83,58%</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RAZDJEL 001 VRTIĆ</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2.693.386,07</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2.251.065,92</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83,58%</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GLAVA 00101 TRATINČICA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2.693.386,07</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2.251.065,92</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83,58%</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2.126.985,00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1.772.124,48</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83,32%</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Proračun općine Seget</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2.126.485,00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1.772.124,48</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83,34%</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1.2. Prihod od banke(pasivna kamata)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3. Vlastiti prihodi</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466.014,94</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86,30%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3.1. Prihod od roditelja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466.014,94</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86,30%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Višak prihoda poslovanja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11.401,07</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9.375,00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82,23%</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4.1. Višak prihoda iz prethodnih godina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11.401,07</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9.375,00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82,23%</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6. Ministarstvo znanosti,obrazovanja i sporta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3.551,50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23,68%</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6.1. Prihod od Ministarstva za program za djecu s teškoćama u </w:t>
            </w:r>
            <w:proofErr w:type="spellStart"/>
            <w:r w:rsidRPr="003D2346">
              <w:rPr>
                <w:rFonts w:ascii="Arial" w:eastAsia="Times New Roman" w:hAnsi="Arial" w:cs="Arial"/>
                <w:b/>
                <w:bCs/>
                <w:color w:val="333333"/>
                <w:sz w:val="16"/>
                <w:szCs w:val="16"/>
                <w:lang w:val="hr-HR" w:eastAsia="hr-HR"/>
              </w:rPr>
              <w:t>raz</w:t>
            </w:r>
            <w:proofErr w:type="spellEnd"/>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1.775,75</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35,52%</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6.2. Prihod od Ministarstva za program </w:t>
            </w:r>
            <w:proofErr w:type="spellStart"/>
            <w:r w:rsidRPr="003D2346">
              <w:rPr>
                <w:rFonts w:ascii="Arial" w:eastAsia="Times New Roman" w:hAnsi="Arial" w:cs="Arial"/>
                <w:b/>
                <w:bCs/>
                <w:color w:val="333333"/>
                <w:sz w:val="16"/>
                <w:szCs w:val="16"/>
                <w:lang w:val="hr-HR" w:eastAsia="hr-HR"/>
              </w:rPr>
              <w:t>predškole</w:t>
            </w:r>
            <w:proofErr w:type="spellEnd"/>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1.775,75</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17,76%</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w:t>
            </w: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Program: Obrazovanje</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2.693.386,07</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2.251.065,92</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83,58%</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0911</w:t>
            </w: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A100001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Aktivnost: Uprava vrtića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2.126.485,00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1.772.124,48</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83,34%</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2.126.485,00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1.772.124,48</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83,34%</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1.1. Proračun općine Seget</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2.126.485,00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1.772.124,48</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83,34%</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Plaće (Bruto)</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1.400.000,00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1.277.681,09</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91,26%</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3111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Plaće za redovan rad</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1.277.681,09</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Ostali rashodi za zaposlene</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210.000,00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203.495,00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96,90%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3121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Ostali rashodi za zaposlene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203.495,00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313</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Doprinosi na plaće</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243.360,00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210.817,39</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86,63%</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3132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Doprinosi za obvezno zdravstveno osiguranje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210.817,39</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Naknade troškova zaposlenima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125.300,00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80.131,00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63,95%</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Službena putovanja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953,00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Naknade za prijevoz, za rad na terenu i odvojeni život</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79.178,00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Rashodi za materijal i energiju</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Ostali nespomenuti rashodi poslovanja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97.825,00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3299</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Ostali nespomenuti rashodi poslovanja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0411</w:t>
            </w: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K100001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Kapitalni projekt: Ulaganje u vrtić</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9.375,00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99,73%</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Višak prihoda poslovanja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9.400,00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9.375,00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99,73%</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4.1. Višak prihoda iz prethodnih godina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9.400,00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9.375,00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99,73%</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426</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Nematerijalna proizvedena imovina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9.400,00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9.375,00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99,73%</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4262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Ulaganja u računalne programe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9.375,00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0411</w:t>
            </w: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T100001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 xml:space="preserve">Tekući projekt: Funkcioniranje </w:t>
            </w:r>
            <w:proofErr w:type="spellStart"/>
            <w:r w:rsidRPr="003D2346">
              <w:rPr>
                <w:rFonts w:ascii="Arial" w:eastAsia="Times New Roman" w:hAnsi="Arial" w:cs="Arial"/>
                <w:b/>
                <w:bCs/>
                <w:sz w:val="16"/>
                <w:szCs w:val="16"/>
                <w:lang w:val="hr-HR" w:eastAsia="hr-HR"/>
              </w:rPr>
              <w:t>dječijeg</w:t>
            </w:r>
            <w:proofErr w:type="spellEnd"/>
            <w:r w:rsidRPr="003D2346">
              <w:rPr>
                <w:rFonts w:ascii="Arial" w:eastAsia="Times New Roman" w:hAnsi="Arial" w:cs="Arial"/>
                <w:b/>
                <w:bCs/>
                <w:sz w:val="16"/>
                <w:szCs w:val="16"/>
                <w:lang w:val="hr-HR" w:eastAsia="hr-HR"/>
              </w:rPr>
              <w:t xml:space="preserve"> vrtića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557.501,07</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469.566,44</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84,23%</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 Opći prihodi</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1.2. Prihod od banke(pasivna kamata)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343</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Ostali financijski rashodi</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3431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Bankarske usluge i usluge platnog prometa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3434</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Ostali nespomenuti financijski rashodi</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3. Vlastiti prihodi</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466.014,94</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86,30%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3.1. Prihod od roditelja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540.000,00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466.014,94</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86,30%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Naknade troškova zaposlenima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1.625,00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40,63%</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3213</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Stručno usavršavanje zaposlenika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1.625,00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Rashodi za materijal i energiju</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411.100,00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360.182,72</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87,61%</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Uredski materijal i ostali materijalni rashodi</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79.921,06</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Materijal i sirovine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217.482,86</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3223</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Energija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55.356,68</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3224</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Materijal i dijelovi za tekuće i investicijsko održavanje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2.499,09</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3225</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Sitni inventar i auto gume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4.923,03</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323</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Rashodi za usluge</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108.600,00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93.295,63</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85,91%</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Usluge telefona, pošte i prijevoza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11.482,48</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Usluge tekućeg i investicijskog održavanja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6.512,50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3234</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Komunalne usluge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20.568,39</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3236</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Zdravstvene i veterinarske usluge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5.250,00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3238</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Računalne usluge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30.235,00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3239</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Ostale usluge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19.247,26</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329</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Ostali nespomenuti rashodi poslovanja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8.200,00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5.289,63</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64,51%</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Premije osiguranja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4.558,85</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3293</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Reprezentacija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254,73</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3299</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Ostali nespomenuti rashodi poslovanja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476,05</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Times New Roman" w:eastAsia="Times New Roman" w:hAnsi="Times New Roman" w:cs="Times New Roman"/>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343</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Ostali financijski rashodi</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8.100,00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5.621,96</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69,41%</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3431</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Bankarske usluge i usluge platnog prometa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5.621,96</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 Višak prihoda poslovanja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2.001,07</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4.1. Višak prihoda iz prethodnih godina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2.001,07</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0,00%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Rashodi za materijal i energiju</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2.001,07</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0,00%</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3223</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Energija</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0,00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Izvor 6. Ministarstvo znanosti,obrazovanja i sporta</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15.000,00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3.551,50</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23,68%</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6.1. Prihod od Ministarstva za program za djecu s teškoćama u </w:t>
            </w:r>
            <w:proofErr w:type="spellStart"/>
            <w:r w:rsidRPr="003D2346">
              <w:rPr>
                <w:rFonts w:ascii="Arial" w:eastAsia="Times New Roman" w:hAnsi="Arial" w:cs="Arial"/>
                <w:b/>
                <w:bCs/>
                <w:color w:val="333333"/>
                <w:sz w:val="16"/>
                <w:szCs w:val="16"/>
                <w:lang w:val="hr-HR" w:eastAsia="hr-HR"/>
              </w:rPr>
              <w:t>raz</w:t>
            </w:r>
            <w:proofErr w:type="spellEnd"/>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5.000,00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1.775,75</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35,52%</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Rashodi za materijal i energiju</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5.000,00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1.775,75</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35,52%</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Materijal i sirovine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1.775,75</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w:t>
            </w:r>
          </w:p>
        </w:tc>
        <w:tc>
          <w:tcPr>
            <w:tcW w:w="4905" w:type="dxa"/>
            <w:gridSpan w:val="2"/>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 xml:space="preserve">Izvor 6.2. Prihod od Ministarstva za program </w:t>
            </w:r>
            <w:proofErr w:type="spellStart"/>
            <w:r w:rsidRPr="003D2346">
              <w:rPr>
                <w:rFonts w:ascii="Arial" w:eastAsia="Times New Roman" w:hAnsi="Arial" w:cs="Arial"/>
                <w:b/>
                <w:bCs/>
                <w:color w:val="333333"/>
                <w:sz w:val="16"/>
                <w:szCs w:val="16"/>
                <w:lang w:val="hr-HR" w:eastAsia="hr-HR"/>
              </w:rPr>
              <w:t>predškole</w:t>
            </w:r>
            <w:proofErr w:type="spellEnd"/>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10.000,00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1.775,75</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r w:rsidRPr="003D2346">
              <w:rPr>
                <w:rFonts w:ascii="Arial" w:eastAsia="Times New Roman" w:hAnsi="Arial" w:cs="Arial"/>
                <w:b/>
                <w:bCs/>
                <w:color w:val="333333"/>
                <w:sz w:val="16"/>
                <w:szCs w:val="16"/>
                <w:lang w:val="hr-HR" w:eastAsia="hr-HR"/>
              </w:rPr>
              <w:t>17,76%</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color w:val="333333"/>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322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Rashodi za materijal i energiju</w:t>
            </w:r>
          </w:p>
        </w:tc>
        <w:tc>
          <w:tcPr>
            <w:tcW w:w="1559"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10.000,00</w:t>
            </w: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1.775,75</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r w:rsidRPr="003D2346">
              <w:rPr>
                <w:rFonts w:ascii="Arial" w:eastAsia="Times New Roman" w:hAnsi="Arial" w:cs="Arial"/>
                <w:b/>
                <w:bCs/>
                <w:sz w:val="16"/>
                <w:szCs w:val="16"/>
                <w:lang w:val="hr-HR" w:eastAsia="hr-HR"/>
              </w:rPr>
              <w:t>17,76%</w:t>
            </w:r>
          </w:p>
        </w:tc>
      </w:tr>
      <w:tr w:rsidR="003D2346" w:rsidRPr="003D2346" w:rsidTr="008D5134">
        <w:trPr>
          <w:trHeight w:val="264"/>
        </w:trPr>
        <w:tc>
          <w:tcPr>
            <w:tcW w:w="104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b/>
                <w:bCs/>
                <w:sz w:val="16"/>
                <w:szCs w:val="16"/>
                <w:lang w:val="hr-HR" w:eastAsia="hr-HR"/>
              </w:rPr>
            </w:pPr>
          </w:p>
        </w:tc>
        <w:tc>
          <w:tcPr>
            <w:tcW w:w="1076"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3222</w:t>
            </w:r>
          </w:p>
        </w:tc>
        <w:tc>
          <w:tcPr>
            <w:tcW w:w="382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Materijal i sirovine</w:t>
            </w:r>
          </w:p>
        </w:tc>
        <w:tc>
          <w:tcPr>
            <w:tcW w:w="1559" w:type="dxa"/>
            <w:shd w:val="clear" w:color="auto" w:fill="FFFFFF" w:themeFill="background1"/>
            <w:noWrap/>
            <w:vAlign w:val="bottom"/>
            <w:hideMark/>
          </w:tcPr>
          <w:p w:rsidR="003D2346" w:rsidRPr="003D2346" w:rsidRDefault="003D2346" w:rsidP="003D2346">
            <w:pPr>
              <w:spacing w:after="0" w:line="240" w:lineRule="auto"/>
              <w:rPr>
                <w:rFonts w:ascii="Arial" w:eastAsia="Times New Roman" w:hAnsi="Arial" w:cs="Arial"/>
                <w:sz w:val="16"/>
                <w:szCs w:val="16"/>
                <w:lang w:val="hr-HR" w:eastAsia="hr-HR"/>
              </w:rPr>
            </w:pPr>
          </w:p>
        </w:tc>
        <w:tc>
          <w:tcPr>
            <w:tcW w:w="1276"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r w:rsidRPr="003D2346">
              <w:rPr>
                <w:rFonts w:ascii="Arial" w:eastAsia="Times New Roman" w:hAnsi="Arial" w:cs="Arial"/>
                <w:sz w:val="16"/>
                <w:szCs w:val="16"/>
                <w:lang w:val="hr-HR" w:eastAsia="hr-HR"/>
              </w:rPr>
              <w:t>1.775,75</w:t>
            </w:r>
          </w:p>
        </w:tc>
        <w:tc>
          <w:tcPr>
            <w:tcW w:w="1134" w:type="dxa"/>
            <w:shd w:val="clear" w:color="auto" w:fill="FFFFFF" w:themeFill="background1"/>
            <w:noWrap/>
            <w:vAlign w:val="bottom"/>
            <w:hideMark/>
          </w:tcPr>
          <w:p w:rsidR="003D2346" w:rsidRPr="003D2346" w:rsidRDefault="003D2346" w:rsidP="003D2346">
            <w:pPr>
              <w:spacing w:after="0" w:line="240" w:lineRule="auto"/>
              <w:jc w:val="right"/>
              <w:rPr>
                <w:rFonts w:ascii="Arial" w:eastAsia="Times New Roman" w:hAnsi="Arial" w:cs="Arial"/>
                <w:sz w:val="16"/>
                <w:szCs w:val="16"/>
                <w:lang w:val="hr-HR" w:eastAsia="hr-HR"/>
              </w:rPr>
            </w:pPr>
          </w:p>
        </w:tc>
      </w:tr>
    </w:tbl>
    <w:p w:rsidR="003D2346" w:rsidRPr="003D2346" w:rsidRDefault="003D2346" w:rsidP="003D2346">
      <w:pPr>
        <w:spacing w:after="160" w:line="259" w:lineRule="auto"/>
        <w:rPr>
          <w:rFonts w:ascii="Arial" w:eastAsia="Calibri" w:hAnsi="Arial" w:cs="Arial"/>
          <w:lang w:val="hr-HR"/>
        </w:rPr>
      </w:pP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24"/>
          <w:szCs w:val="24"/>
          <w:lang w:val="hr-HR"/>
        </w:rPr>
      </w:pPr>
      <w:r w:rsidRPr="003D2346">
        <w:rPr>
          <w:rFonts w:ascii="Cambria" w:eastAsia="Times New Roman" w:hAnsi="Cambria" w:cs="Times New Roman"/>
          <w:color w:val="365F91"/>
          <w:sz w:val="24"/>
          <w:szCs w:val="24"/>
          <w:lang w:val="hr-HR"/>
        </w:rPr>
        <w:t>3.OBRAZLOŽENJE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OBRAZLOŽENJE OSTVARENJA PRIHODA I PRIMITAKA TE RASHODA- OPĆI DIO</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Prihodi i primici te rashodi i izdaci su evidentirani na temelju nastanka događaja i priznati prema kriteriju mjerljivosti i raspoloživost. Ukupno ostvareni prihodi i primici u 2022.godini iznose 2.227.155,23 što je za 28,30 % više u odnosu na isto razdoblje prošle godine.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Rashodi su priznati na temelju nastanka poslovnog događaja u izvještajnom razdoblju na koje se odnose bez obzira kad su plaćeni. Ukupno ostvareni rashodi i izdaci u 2022.godini iznose 2.251.065,92 što je za 28,66 % više u odnosu na isto razdoblje prošle godine.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U 2022.godini ostvaren je manjak od 23.910,69 kn. Zbog prenesenog viška iz prethodne godine u iznosu od 114.935,49 kn te ostvarenog manjka raspoloživi iznos viška u slijedećem razdoblju iznosi 91.024,80 kn.</w:t>
      </w:r>
    </w:p>
    <w:p w:rsidR="003D2346" w:rsidRPr="003D2346" w:rsidRDefault="003D2346" w:rsidP="003D2346">
      <w:pPr>
        <w:keepNext/>
        <w:spacing w:after="0" w:line="240" w:lineRule="auto"/>
        <w:jc w:val="both"/>
        <w:outlineLvl w:val="1"/>
        <w:rPr>
          <w:rFonts w:ascii="Times New Roman" w:eastAsia="Times New Roman" w:hAnsi="Times New Roman" w:cs="Times New Roman"/>
          <w:i/>
          <w:lang w:val="hr-HR"/>
        </w:rPr>
      </w:pPr>
    </w:p>
    <w:p w:rsidR="003D2346" w:rsidRPr="003D2346" w:rsidRDefault="003D2346" w:rsidP="003D2346">
      <w:pPr>
        <w:keepNext/>
        <w:spacing w:after="0" w:line="240" w:lineRule="auto"/>
        <w:jc w:val="both"/>
        <w:outlineLvl w:val="1"/>
        <w:rPr>
          <w:rFonts w:ascii="Times New Roman" w:eastAsia="Times New Roman" w:hAnsi="Times New Roman" w:cs="Times New Roman"/>
          <w:i/>
          <w:lang w:val="hr-HR"/>
        </w:rPr>
      </w:pPr>
      <w:r w:rsidRPr="003D2346">
        <w:rPr>
          <w:rFonts w:ascii="Times New Roman" w:eastAsia="Times New Roman" w:hAnsi="Times New Roman" w:cs="Times New Roman"/>
          <w:i/>
          <w:lang w:val="hr-HR"/>
        </w:rPr>
        <w:t>Obrazloženje ostvarenja prihoda i primitaka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Ostvareni prihodi i primici u  2022.godini prikazani su usporedno sa ostvarenjem u prethodnoj godini i sa planiranim na godišnjoj razini na slijedeći način:</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1. Prihodi od financijske imovine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Prihodi od pasivne kamate ostvareni su u iznosu od 0,37 kn što je za 8,82% više u odnosu na razdoblje prethodne godine.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2.Prihodi po posebnim propisima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Prihodi od roditelja ostvareni su u iznosu od 447.036,40 kn što je za 47,22% više u odnosu na razdoblje prethodne godine.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Prihodi su povećani jer nije bilo umanjenja cijene, povećan je broj upisane djece te su naplaćena dugovanja iz prethodnih godina.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3.Prihodi iz nadležnog proračuna za financiranje redovne djelatnosti proračunskih korisnika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Prihodi iz nadležnog proračuna ostvareni su u iznosu od 1.780.118,46 kn što je za 24,29% više u odnosu na razdoblje prethodne godine.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 xml:space="preserve">Navedeni prihodi su povećani zbog povećanih potreba za zamjenama za djelatnike koji su bili na bolovanju ili godišnjem odmoru, dodatnog zapošljavanja djelatnika zbog otvaranja novog vrtića te zbog sredstava Ministarstva za program  </w:t>
      </w:r>
      <w:proofErr w:type="spellStart"/>
      <w:r w:rsidRPr="003D2346">
        <w:rPr>
          <w:rFonts w:ascii="Times New Roman" w:eastAsia="Times New Roman" w:hAnsi="Times New Roman" w:cs="Times New Roman"/>
          <w:lang w:val="hr-HR"/>
        </w:rPr>
        <w:t>predškole</w:t>
      </w:r>
      <w:proofErr w:type="spellEnd"/>
      <w:r w:rsidRPr="003D2346">
        <w:rPr>
          <w:rFonts w:ascii="Times New Roman" w:eastAsia="Times New Roman" w:hAnsi="Times New Roman" w:cs="Times New Roman"/>
          <w:lang w:val="hr-HR"/>
        </w:rPr>
        <w:t xml:space="preserve"> i program za djecu s teškoćama u razvoju.</w:t>
      </w:r>
    </w:p>
    <w:p w:rsidR="003D2346" w:rsidRPr="003D2346" w:rsidRDefault="003D2346" w:rsidP="003D2346">
      <w:pPr>
        <w:keepNext/>
        <w:spacing w:after="0" w:line="240" w:lineRule="auto"/>
        <w:jc w:val="both"/>
        <w:outlineLvl w:val="1"/>
        <w:rPr>
          <w:rFonts w:ascii="Times New Roman" w:eastAsia="Times New Roman" w:hAnsi="Times New Roman" w:cs="Times New Roman"/>
          <w:i/>
          <w:lang w:val="hr-HR"/>
        </w:rPr>
      </w:pPr>
      <w:r w:rsidRPr="003D2346">
        <w:rPr>
          <w:rFonts w:ascii="Times New Roman" w:eastAsia="Times New Roman" w:hAnsi="Times New Roman" w:cs="Times New Roman"/>
          <w:i/>
          <w:lang w:val="hr-HR"/>
        </w:rPr>
        <w:t>Obrazloženje ostvarenja rashoda i izdataka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Ukupni rashodi i izdaci za prvu polovicu 2022. godine iznose  2.251.065,92 kn što je za 28,66 % više u odnosu na prethodnu godinu.</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1. Rashodi za zaposlene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 xml:space="preserve">Rashodi za zaposlene ostvareni su u iznosu od 1.691.993,48 kn a to je za 23,06 % više u odnosu na prethodnu godinu. Rashodi za zaposlene uključuju plaće, doprinose na plaće i ostale rashode za zaposlene Dječjeg vrtića SEGET. </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Ukupne bruto plaće ostvarene su u iznosu od 1.277.681,09 kn što je za 18,07 % više u odnosu na prethodnu godinu.</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2. Materijalni rashodi</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Materijalni rashodi ostvareni su u iznosu od 544.075,48 kn to jest za 56,96 % više u odnosu na prethodnu godinu. Oni se odnose na redovnu djelatnost odgoja i obrazovanja,  te na izvršavanje programskih aktivnosti.</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2.1. Naknade troškova zaposlenima ostvarene su u iznosu od 81.756,00 kn, to jest za 33,71 % više u odnosu na 2021. godinu.</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Raščlanjuju se kako slijedi:</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a) Službena putovanja iznose 953,00 kn</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b)Naknade za prijevoz na posao i sa posla iznose 79.178,00 kn</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c)Stručno usavršavanje zaposlenika iznosi 1.625,00 kn</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2.2. Rashodi za materijal i energiju ostvareni su u iznosu od 363.734,22 kn što je za 79,38 % više u odnosu na prethodnu godinu. Uredski materijal i ostali materijalni rashodi ostvareni su u iznosu od 79.921,06 kn, a to je za 110,43% više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 xml:space="preserve">Materijal i sirovine ostvareni su u iznosu od  221.034,36 kn, a to je za 85,66% više u odnosu na prošlogodišnje razdoblje. Energija ostvarena je u iznosu od  55.356,68 kn, a to je za 38,88% više u odnosu na prošlogodišnje razdoblje. </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Materijal i dijelovi za tekuće i investicijsko održavanje ostvareni su u iznosu od  2.499,09 kn, a to je za 32,56% manje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 xml:space="preserve">Sitni inventar i </w:t>
      </w:r>
      <w:proofErr w:type="spellStart"/>
      <w:r w:rsidRPr="003D2346">
        <w:rPr>
          <w:rFonts w:ascii="Times New Roman" w:eastAsia="Times New Roman" w:hAnsi="Times New Roman" w:cs="Times New Roman"/>
          <w:lang w:val="hr-HR"/>
        </w:rPr>
        <w:t>autogume</w:t>
      </w:r>
      <w:proofErr w:type="spellEnd"/>
      <w:r w:rsidRPr="003D2346">
        <w:rPr>
          <w:rFonts w:ascii="Times New Roman" w:eastAsia="Times New Roman" w:hAnsi="Times New Roman" w:cs="Times New Roman"/>
          <w:lang w:val="hr-HR"/>
        </w:rPr>
        <w:t xml:space="preserve"> ostvareni su u iznosu od 4.923,03 kn, a to je za 126,31% više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2.3.Rashodi za usluge ostvareni su u iznosu od  93.295,63 kn, a to je za 17,57% više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Usluge uključuju slijedeće: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a) Usluge telefona pošte i prijevoza ostvareni su u iznosu od  11.482,48 kn, a to je za 5,44% više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b) Usluge tekućeg i investicijskog održavanja ostvareni su u iznosu od  6.512,50 kn, a to je za 5,27% manje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c) Komunalne usluge ostvareni su u iznosu od  20.568,39 kn, a to je jednako kao u prošlogodišnjem razdoblju.</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d) Zdravstvene i veterinarske usluge ostvareni su u iznosu od  5.250,00 kn, a to je za 38,40% više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e) Računalne usluge ostvareni su u iznosu od  30.235,00 kn, a to je za 51,43% više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f) Ostale usluge ostvareni su u iznosu od  19.247,26 kn, a to je za 45,81% manje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2.4.Ostali nespomenuti rashodi poslovanja ostvareni su u iznosu od  5.289,63 kn, a to je za 58,00% više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3.Financijski rashodi</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Bankarske usluge i usluge platnog prometa  iznose 5.621,96 kn, a to je za 26,19% manje u odnosu na prošlogodišnje razdoblje.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4.Rashodi za nabavu nefinancijske imovine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Rashodi za nabavu nefinancijske imovine iznose 9.375,00 kn, dok su prošle godine iznosili 20.368,75 kn.</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OBRAZLOŽENJE IZVRŠENJA PRORAČUNA-POSEBNI DIO PRORAČUNA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Program 1001 Obrazovanje</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Ukupni rashodi i izdaci u okviru ovog programa ostvareni su iznosu od 2.251.065,92 kn, to jest za 16,42% manje u odnosu na godišnji plan.</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Program obuhvaća Aktivnost: Uprava vrtića te su financijski pokazatelji isti kao i na razini programa.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Opći cilj: povećanje razine obrazovanja i potpora obiteljima i djeci u obrazovanju.</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 xml:space="preserve">Pokazatelji uspješnosti: </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 xml:space="preserve">Broj djece upisanih u dječji vrtić i program </w:t>
      </w:r>
      <w:proofErr w:type="spellStart"/>
      <w:r w:rsidRPr="003D2346">
        <w:rPr>
          <w:rFonts w:ascii="Times New Roman" w:eastAsia="Times New Roman" w:hAnsi="Times New Roman" w:cs="Times New Roman"/>
          <w:lang w:val="hr-HR"/>
        </w:rPr>
        <w:t>predškole</w:t>
      </w:r>
      <w:proofErr w:type="spellEnd"/>
      <w:r w:rsidRPr="003D2346">
        <w:rPr>
          <w:rFonts w:ascii="Times New Roman" w:eastAsia="Times New Roman" w:hAnsi="Times New Roman" w:cs="Times New Roman"/>
          <w:lang w:val="hr-HR"/>
        </w:rPr>
        <w:t xml:space="preserve"> kojima se sufinancira boravak u dječjem vrtiću.</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Izvor financiranja- opći prihodi</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Sredstva se odnose na plaće i naknade zaposlenima, na doprinose, na ostale rashode za zaposlene i ostale nespomenute rashode poslovanja.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Program K100001 Kapitalni projekt: Ulaganje u vrtić</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Ukupni rashodi i izdaci u okviru ovog programa ostvareni su iznosu od 9.375,00 kn, dok su planirani na godišnjoj razini u iznosu od 9.400,00  kn.</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Izvor financiranja- višak prihoda poslovanja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Posebni cilj ovog programa: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Ulaganje u dječji vrtić i opremanje vrtića u svrhu unaprjeđenja odgojno-obrazovnog rada Dječjeg vrtića SEGET.</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Pokazatelji uspješnosti:</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Količine opreme nabavljene i broj projekata kapitalnih ulaganja u Dječji vrtić SEGET.</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Program T 100001 Tekući projekt: Funkcioniranje dječjeg vrtića</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Ukupni rashodi i izdaci u okviru ovog programa ostvareni su iznosu od 469.566,44 kn, to jest za 15,77% manje u odnosu na godišnji plan.</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Opći cilj: redovan program predškolskog odgoja i obrazovanja, cjelodnevni rad dječjeg vrtića, kojim se stvaraju i osiguravaju uvjeti i skrb za svu djecu predškolskog uzrasta na području Općine Seget.</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 xml:space="preserve">Pokazatelji uspješnosti: </w:t>
      </w:r>
    </w:p>
    <w:p w:rsidR="003D2346" w:rsidRPr="003D2346" w:rsidRDefault="003D2346" w:rsidP="003D2346">
      <w:pPr>
        <w:keepNext/>
        <w:spacing w:after="0" w:line="240" w:lineRule="auto"/>
        <w:jc w:val="both"/>
        <w:outlineLvl w:val="1"/>
        <w:rPr>
          <w:rFonts w:ascii="Times New Roman" w:eastAsia="Times New Roman" w:hAnsi="Times New Roman" w:cs="Times New Roman"/>
          <w:lang w:val="hr-HR"/>
        </w:rPr>
      </w:pPr>
      <w:r w:rsidRPr="003D2346">
        <w:rPr>
          <w:rFonts w:ascii="Times New Roman" w:eastAsia="Times New Roman" w:hAnsi="Times New Roman" w:cs="Times New Roman"/>
          <w:lang w:val="hr-HR"/>
        </w:rPr>
        <w:t>Broj djece i broj odgojnih skupina, broj aktivnosti koje se provode u okviru redovne djelatnosti.</w:t>
      </w:r>
    </w:p>
    <w:p w:rsidR="003D2346" w:rsidRPr="003D2346" w:rsidRDefault="003D2346" w:rsidP="003D2346">
      <w:pPr>
        <w:spacing w:after="160" w:line="259" w:lineRule="auto"/>
        <w:rPr>
          <w:rFonts w:ascii="Times New Roman" w:eastAsia="Calibri" w:hAnsi="Times New Roman" w:cs="Times New Roman"/>
          <w:b/>
          <w:bCs/>
          <w:sz w:val="24"/>
          <w:szCs w:val="24"/>
          <w:lang w:val="hr-HR"/>
        </w:rPr>
      </w:pPr>
    </w:p>
    <w:p w:rsidR="003D2346" w:rsidRPr="003D2346" w:rsidRDefault="003D2346" w:rsidP="003D2346">
      <w:pPr>
        <w:spacing w:after="160" w:line="259" w:lineRule="auto"/>
        <w:rPr>
          <w:rFonts w:ascii="Times New Roman" w:eastAsia="Calibri" w:hAnsi="Times New Roman" w:cs="Times New Roman"/>
          <w:b/>
          <w:bCs/>
          <w:sz w:val="24"/>
          <w:szCs w:val="24"/>
          <w:lang w:val="hr-HR"/>
        </w:rPr>
      </w:pPr>
    </w:p>
    <w:p w:rsidR="003D2346" w:rsidRPr="003D2346" w:rsidRDefault="003D2346" w:rsidP="003D2346">
      <w:pPr>
        <w:spacing w:after="160" w:line="259" w:lineRule="auto"/>
        <w:rPr>
          <w:rFonts w:ascii="Times New Roman" w:eastAsia="Calibri" w:hAnsi="Times New Roman" w:cs="Times New Roman"/>
          <w:b/>
          <w:bCs/>
          <w:sz w:val="24"/>
          <w:szCs w:val="24"/>
          <w:lang w:val="hr-HR"/>
        </w:rPr>
      </w:pPr>
    </w:p>
    <w:p w:rsidR="003D2346" w:rsidRP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Default="003D2346" w:rsidP="003D2346">
      <w:pPr>
        <w:spacing w:after="160" w:line="259" w:lineRule="auto"/>
        <w:rPr>
          <w:rFonts w:ascii="Times New Roman" w:eastAsia="Calibri" w:hAnsi="Times New Roman" w:cs="Times New Roman"/>
          <w:b/>
          <w:bCs/>
          <w:sz w:val="24"/>
          <w:szCs w:val="24"/>
          <w:lang w:val="hr-HR"/>
        </w:rPr>
      </w:pPr>
    </w:p>
    <w:p w:rsidR="003D2346" w:rsidRPr="003D2346" w:rsidRDefault="003D2346" w:rsidP="003D2346">
      <w:pPr>
        <w:spacing w:after="160" w:line="259" w:lineRule="auto"/>
        <w:rPr>
          <w:rFonts w:ascii="Times New Roman" w:eastAsia="Calibri" w:hAnsi="Times New Roman" w:cs="Times New Roman"/>
          <w:b/>
          <w:bCs/>
          <w:sz w:val="24"/>
          <w:szCs w:val="24"/>
          <w:lang w:val="hr-HR"/>
        </w:rPr>
      </w:pPr>
    </w:p>
    <w:p w:rsidR="003D2346" w:rsidRPr="003D2346" w:rsidRDefault="003D2346" w:rsidP="003D2346">
      <w:pPr>
        <w:keepNext/>
        <w:keepLines/>
        <w:spacing w:before="240" w:after="0" w:line="259" w:lineRule="auto"/>
        <w:outlineLvl w:val="0"/>
        <w:rPr>
          <w:rFonts w:ascii="Cambria" w:eastAsia="Times New Roman" w:hAnsi="Cambria" w:cs="Times New Roman"/>
          <w:color w:val="365F91"/>
          <w:sz w:val="32"/>
          <w:szCs w:val="32"/>
          <w:lang w:val="hr-HR"/>
        </w:rPr>
      </w:pPr>
      <w:r w:rsidRPr="003D2346">
        <w:rPr>
          <w:rFonts w:ascii="Cambria" w:eastAsia="Times New Roman" w:hAnsi="Cambria" w:cs="Times New Roman"/>
          <w:color w:val="365F91"/>
          <w:sz w:val="32"/>
          <w:szCs w:val="32"/>
          <w:lang w:val="hr-HR"/>
        </w:rPr>
        <w:t>IV. POSEBNI IZVJEŠTAJI</w:t>
      </w: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 xml:space="preserve">I. IZVJEŠTAJ O ZADUŽIVANJU NA DOMAĆEM I STRANOM TRŽIŠTU NOVCA I KAPITALA </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Općina Seget kao i proračunski korisnik nisu se zaduživali na domaćem i stranom tržištu novca i kapitala.</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II. IZVJEŠTAJ O DANIM JAMSTVIMA I IZDACIMA PO JAMSTVIMA</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U izvještajnom razdoblju Općina Seget i proračunski korisnik nisu davali jamstva niti su imali izdatke po jamstvima.</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III. IZVJEŠTAJ O STANJU POTRAŽIVANJA I DOSPIJELIH OBVEZA TE STANJU POTENCIJALNIH OBVEZA PO OSNOVI SUDSKIH SPOROVA</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 xml:space="preserve">Stanje potraživanja Općine Seget iznosi 3.262.275,90 kn ili 7,0% manje u odnosu na prethodnu godinu (u međuvremenu je naplaćeno 1.649.989,27 kn), dok proračunskog korisnika Dječjeg vrtića Seget iznose 75.723,91 kn. Stanje obveza Općine Seget iznose 1.305.929,19 kn ili 73,0% manje u odnosu na prethodnu godinu (u međuvremenu su podmirene sve obveze), dok kod proračunskog korisnika obveze iznose 10.822,63 kn. </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Općina je tuženik u 14 sudskih sporova od kojih je 1 predmet s procjenom uspješnog financijskog učinka u visini od 22.600,00 kn, 9 predmeta je s procjenom neizvjesnog financijskog učinka u visini od 249.742,08 kn, dok je u 3 predmeta pokrenuta naplata sudskih troškova u visini od 17.980,26 kn, a za 1 predmet se očekuje nagodba bez troška za Općinu Seget.</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 xml:space="preserve">IV. IZVJEŠTAJ O KORIŠTENJU PRORAČUNSKE ZALIHE </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Općina Seget i proračunski korisnik nisu koristili proračunsku zalihu.</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V. IZVJEŠTAJ O KORIŠTENJU SREDSTAVA FONDOVA EUROPSKE UNIJE</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Iznos potpore utvrđen Ugovorom o financiranju za izgradnju novog vrtića u Seget Vranjici je 7.140.376,01 kn. Općini Seget kao korisniku sredstava do sada je isplaćen iznos potpore od 5.016.114,42 kn.</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VI. IZVJEŠTAJ O DANIM ZAJMOVIMA I POTRAŽIVANJIMA PO DANIM ZAJMOVIMA</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Općina Seget i proračunski korisnik nisu davali zajmove i nisu imali potraživanja po danim zajmovima.</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VII. IZVJEŠTAJ O DANIM JAMSTVIMA I PLAĆANJIMA PO PROTESTIRANIM JAMSTVIMA</w:t>
      </w:r>
    </w:p>
    <w:p w:rsidR="003D2346" w:rsidRPr="003D2346" w:rsidRDefault="003D2346" w:rsidP="003D2346">
      <w:pPr>
        <w:keepNext/>
        <w:spacing w:after="0" w:line="240" w:lineRule="auto"/>
        <w:jc w:val="both"/>
        <w:outlineLvl w:val="1"/>
        <w:rPr>
          <w:rFonts w:ascii="Times New Roman" w:eastAsia="Times New Roman" w:hAnsi="Times New Roman" w:cs="Times New Roman"/>
          <w:sz w:val="24"/>
          <w:szCs w:val="24"/>
          <w:lang w:val="hr-HR"/>
        </w:rPr>
      </w:pPr>
      <w:r w:rsidRPr="003D2346">
        <w:rPr>
          <w:rFonts w:ascii="Times New Roman" w:eastAsia="Times New Roman" w:hAnsi="Times New Roman" w:cs="Times New Roman"/>
          <w:sz w:val="24"/>
          <w:szCs w:val="24"/>
          <w:lang w:val="hr-HR"/>
        </w:rPr>
        <w:t>Općina Seget i proračunski korisnik nisu davali jamstva i nisu imali plaćanja po protestiranim jamstvima.</w:t>
      </w: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spacing w:after="160" w:line="259" w:lineRule="auto"/>
        <w:rPr>
          <w:rFonts w:ascii="Calibri" w:eastAsia="Calibri" w:hAnsi="Calibri" w:cs="Times New Roman"/>
          <w:lang w:val="hr-HR"/>
        </w:rPr>
      </w:pPr>
    </w:p>
    <w:p w:rsidR="003D2346" w:rsidRPr="003D2346" w:rsidRDefault="003D2346" w:rsidP="003D2346">
      <w:pPr>
        <w:spacing w:after="160" w:line="259" w:lineRule="auto"/>
        <w:rPr>
          <w:rFonts w:ascii="Calibri" w:eastAsia="Calibri" w:hAnsi="Calibri" w:cs="Times New Roman"/>
          <w:lang w:val="hr-HR"/>
        </w:rPr>
      </w:pPr>
    </w:p>
    <w:sectPr w:rsidR="003D2346" w:rsidRPr="003D23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20EF" w:rsidRDefault="009520EF">
      <w:pPr>
        <w:spacing w:after="0" w:line="240" w:lineRule="auto"/>
      </w:pPr>
      <w:r>
        <w:separator/>
      </w:r>
    </w:p>
  </w:endnote>
  <w:endnote w:type="continuationSeparator" w:id="0">
    <w:p w:rsidR="009520EF" w:rsidRDefault="0095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mo">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HR Times">
    <w:altName w:val="Courier New"/>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4E05" w:rsidRDefault="00000000">
    <w:pPr>
      <w:pStyle w:val="Footer"/>
      <w:jc w:val="right"/>
    </w:pPr>
  </w:p>
  <w:p w:rsidR="001D4E0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20EF" w:rsidRDefault="009520EF">
      <w:pPr>
        <w:spacing w:after="0" w:line="240" w:lineRule="auto"/>
      </w:pPr>
      <w:r>
        <w:separator/>
      </w:r>
    </w:p>
  </w:footnote>
  <w:footnote w:type="continuationSeparator" w:id="0">
    <w:p w:rsidR="009520EF" w:rsidRDefault="00952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CAF"/>
    <w:multiLevelType w:val="hybridMultilevel"/>
    <w:tmpl w:val="895AAAF0"/>
    <w:lvl w:ilvl="0" w:tplc="CBC4C198">
      <w:start w:val="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5D44D1E"/>
    <w:multiLevelType w:val="hybridMultilevel"/>
    <w:tmpl w:val="8F567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EC266F"/>
    <w:multiLevelType w:val="hybridMultilevel"/>
    <w:tmpl w:val="08BC77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F337FF"/>
    <w:multiLevelType w:val="hybridMultilevel"/>
    <w:tmpl w:val="085C11FA"/>
    <w:lvl w:ilvl="0" w:tplc="041A0011">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B22B1D"/>
    <w:multiLevelType w:val="hybridMultilevel"/>
    <w:tmpl w:val="66A8D72E"/>
    <w:lvl w:ilvl="0" w:tplc="502409C6">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0D4072A0"/>
    <w:multiLevelType w:val="hybridMultilevel"/>
    <w:tmpl w:val="2F985808"/>
    <w:lvl w:ilvl="0" w:tplc="EF1EF4A6">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6E7142"/>
    <w:multiLevelType w:val="hybridMultilevel"/>
    <w:tmpl w:val="8926132E"/>
    <w:lvl w:ilvl="0" w:tplc="C8B45704">
      <w:start w:val="1"/>
      <w:numFmt w:val="decimal"/>
      <w:lvlText w:val="%1."/>
      <w:lvlJc w:val="left"/>
      <w:pPr>
        <w:ind w:left="399" w:hanging="252"/>
      </w:pPr>
      <w:rPr>
        <w:rFonts w:hint="default"/>
        <w:w w:val="100"/>
        <w:lang w:val="hr-HR" w:eastAsia="en-US" w:bidi="ar-SA"/>
      </w:rPr>
    </w:lvl>
    <w:lvl w:ilvl="1" w:tplc="A6B630DE">
      <w:numFmt w:val="bullet"/>
      <w:lvlText w:val=""/>
      <w:lvlJc w:val="left"/>
      <w:pPr>
        <w:ind w:left="836" w:hanging="360"/>
      </w:pPr>
      <w:rPr>
        <w:rFonts w:ascii="Symbol" w:eastAsia="Symbol" w:hAnsi="Symbol" w:cs="Symbol" w:hint="default"/>
        <w:w w:val="100"/>
        <w:sz w:val="24"/>
        <w:szCs w:val="24"/>
        <w:lang w:val="hr-HR" w:eastAsia="en-US" w:bidi="ar-SA"/>
      </w:rPr>
    </w:lvl>
    <w:lvl w:ilvl="2" w:tplc="FF0E695E">
      <w:numFmt w:val="bullet"/>
      <w:lvlText w:val="•"/>
      <w:lvlJc w:val="left"/>
      <w:pPr>
        <w:ind w:left="1780" w:hanging="360"/>
      </w:pPr>
      <w:rPr>
        <w:rFonts w:hint="default"/>
        <w:lang w:val="hr-HR" w:eastAsia="en-US" w:bidi="ar-SA"/>
      </w:rPr>
    </w:lvl>
    <w:lvl w:ilvl="3" w:tplc="B9BE2AFE">
      <w:numFmt w:val="bullet"/>
      <w:lvlText w:val="•"/>
      <w:lvlJc w:val="left"/>
      <w:pPr>
        <w:ind w:left="2721" w:hanging="360"/>
      </w:pPr>
      <w:rPr>
        <w:rFonts w:hint="default"/>
        <w:lang w:val="hr-HR" w:eastAsia="en-US" w:bidi="ar-SA"/>
      </w:rPr>
    </w:lvl>
    <w:lvl w:ilvl="4" w:tplc="D5B4032A">
      <w:numFmt w:val="bullet"/>
      <w:lvlText w:val="•"/>
      <w:lvlJc w:val="left"/>
      <w:pPr>
        <w:ind w:left="3662" w:hanging="360"/>
      </w:pPr>
      <w:rPr>
        <w:rFonts w:hint="default"/>
        <w:lang w:val="hr-HR" w:eastAsia="en-US" w:bidi="ar-SA"/>
      </w:rPr>
    </w:lvl>
    <w:lvl w:ilvl="5" w:tplc="B5A0715A">
      <w:numFmt w:val="bullet"/>
      <w:lvlText w:val="•"/>
      <w:lvlJc w:val="left"/>
      <w:pPr>
        <w:ind w:left="4602" w:hanging="360"/>
      </w:pPr>
      <w:rPr>
        <w:rFonts w:hint="default"/>
        <w:lang w:val="hr-HR" w:eastAsia="en-US" w:bidi="ar-SA"/>
      </w:rPr>
    </w:lvl>
    <w:lvl w:ilvl="6" w:tplc="182E1D52">
      <w:numFmt w:val="bullet"/>
      <w:lvlText w:val="•"/>
      <w:lvlJc w:val="left"/>
      <w:pPr>
        <w:ind w:left="5543" w:hanging="360"/>
      </w:pPr>
      <w:rPr>
        <w:rFonts w:hint="default"/>
        <w:lang w:val="hr-HR" w:eastAsia="en-US" w:bidi="ar-SA"/>
      </w:rPr>
    </w:lvl>
    <w:lvl w:ilvl="7" w:tplc="25CA312C">
      <w:numFmt w:val="bullet"/>
      <w:lvlText w:val="•"/>
      <w:lvlJc w:val="left"/>
      <w:pPr>
        <w:ind w:left="6484" w:hanging="360"/>
      </w:pPr>
      <w:rPr>
        <w:rFonts w:hint="default"/>
        <w:lang w:val="hr-HR" w:eastAsia="en-US" w:bidi="ar-SA"/>
      </w:rPr>
    </w:lvl>
    <w:lvl w:ilvl="8" w:tplc="E6B8C6FE">
      <w:numFmt w:val="bullet"/>
      <w:lvlText w:val="•"/>
      <w:lvlJc w:val="left"/>
      <w:pPr>
        <w:ind w:left="7424" w:hanging="360"/>
      </w:pPr>
      <w:rPr>
        <w:rFonts w:hint="default"/>
        <w:lang w:val="hr-HR" w:eastAsia="en-US" w:bidi="ar-SA"/>
      </w:rPr>
    </w:lvl>
  </w:abstractNum>
  <w:abstractNum w:abstractNumId="8" w15:restartNumberingAfterBreak="0">
    <w:nsid w:val="1D0336F9"/>
    <w:multiLevelType w:val="hybridMultilevel"/>
    <w:tmpl w:val="FD985B00"/>
    <w:lvl w:ilvl="0" w:tplc="C2B8C0D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E3932B7"/>
    <w:multiLevelType w:val="hybridMultilevel"/>
    <w:tmpl w:val="2A347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A9726B"/>
    <w:multiLevelType w:val="hybridMultilevel"/>
    <w:tmpl w:val="D3364304"/>
    <w:lvl w:ilvl="0" w:tplc="CAB87BA4">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047B23"/>
    <w:multiLevelType w:val="hybridMultilevel"/>
    <w:tmpl w:val="6324BD02"/>
    <w:lvl w:ilvl="0" w:tplc="FBCEA3A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0673763"/>
    <w:multiLevelType w:val="hybridMultilevel"/>
    <w:tmpl w:val="6CD0E2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6874F2"/>
    <w:multiLevelType w:val="hybridMultilevel"/>
    <w:tmpl w:val="581EE3DA"/>
    <w:lvl w:ilvl="0" w:tplc="F774C824">
      <w:start w:val="73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AD193B"/>
    <w:multiLevelType w:val="hybridMultilevel"/>
    <w:tmpl w:val="5FF6E6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366BEA"/>
    <w:multiLevelType w:val="hybridMultilevel"/>
    <w:tmpl w:val="80361A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33A7C5C"/>
    <w:multiLevelType w:val="multilevel"/>
    <w:tmpl w:val="82A0C7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D4461"/>
    <w:multiLevelType w:val="hybridMultilevel"/>
    <w:tmpl w:val="177C605E"/>
    <w:lvl w:ilvl="0" w:tplc="3A5C3036">
      <w:start w:val="43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8913B5"/>
    <w:multiLevelType w:val="hybridMultilevel"/>
    <w:tmpl w:val="C6728C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880192"/>
    <w:multiLevelType w:val="hybridMultilevel"/>
    <w:tmpl w:val="D728C64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41063F1C"/>
    <w:multiLevelType w:val="hybridMultilevel"/>
    <w:tmpl w:val="59B8526C"/>
    <w:lvl w:ilvl="0" w:tplc="357422F8">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4E00DDA"/>
    <w:multiLevelType w:val="hybridMultilevel"/>
    <w:tmpl w:val="36582AF4"/>
    <w:lvl w:ilvl="0" w:tplc="FBCEA3A8">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5D2491E"/>
    <w:multiLevelType w:val="hybridMultilevel"/>
    <w:tmpl w:val="A57C16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68E7A68"/>
    <w:multiLevelType w:val="hybridMultilevel"/>
    <w:tmpl w:val="6610DEDE"/>
    <w:lvl w:ilvl="0" w:tplc="FBCEA3A8">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471520FE"/>
    <w:multiLevelType w:val="hybridMultilevel"/>
    <w:tmpl w:val="EBAA79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2AD7E08"/>
    <w:multiLevelType w:val="hybridMultilevel"/>
    <w:tmpl w:val="9EEC73F6"/>
    <w:lvl w:ilvl="0" w:tplc="201E6D46">
      <w:start w:val="1"/>
      <w:numFmt w:val="decimal"/>
      <w:lvlText w:val="%1."/>
      <w:lvlJc w:val="left"/>
      <w:pPr>
        <w:ind w:left="76" w:hanging="360"/>
      </w:pPr>
      <w:rPr>
        <w:rFonts w:hint="default"/>
      </w:rPr>
    </w:lvl>
    <w:lvl w:ilvl="1" w:tplc="041A0019" w:tentative="1">
      <w:start w:val="1"/>
      <w:numFmt w:val="lowerLetter"/>
      <w:lvlText w:val="%2."/>
      <w:lvlJc w:val="left"/>
      <w:pPr>
        <w:ind w:left="796" w:hanging="360"/>
      </w:pPr>
    </w:lvl>
    <w:lvl w:ilvl="2" w:tplc="041A001B" w:tentative="1">
      <w:start w:val="1"/>
      <w:numFmt w:val="lowerRoman"/>
      <w:lvlText w:val="%3."/>
      <w:lvlJc w:val="right"/>
      <w:pPr>
        <w:ind w:left="1516" w:hanging="180"/>
      </w:pPr>
    </w:lvl>
    <w:lvl w:ilvl="3" w:tplc="041A000F" w:tentative="1">
      <w:start w:val="1"/>
      <w:numFmt w:val="decimal"/>
      <w:lvlText w:val="%4."/>
      <w:lvlJc w:val="left"/>
      <w:pPr>
        <w:ind w:left="2236" w:hanging="360"/>
      </w:pPr>
    </w:lvl>
    <w:lvl w:ilvl="4" w:tplc="041A0019" w:tentative="1">
      <w:start w:val="1"/>
      <w:numFmt w:val="lowerLetter"/>
      <w:lvlText w:val="%5."/>
      <w:lvlJc w:val="left"/>
      <w:pPr>
        <w:ind w:left="2956" w:hanging="360"/>
      </w:pPr>
    </w:lvl>
    <w:lvl w:ilvl="5" w:tplc="041A001B" w:tentative="1">
      <w:start w:val="1"/>
      <w:numFmt w:val="lowerRoman"/>
      <w:lvlText w:val="%6."/>
      <w:lvlJc w:val="right"/>
      <w:pPr>
        <w:ind w:left="3676" w:hanging="180"/>
      </w:pPr>
    </w:lvl>
    <w:lvl w:ilvl="6" w:tplc="041A000F" w:tentative="1">
      <w:start w:val="1"/>
      <w:numFmt w:val="decimal"/>
      <w:lvlText w:val="%7."/>
      <w:lvlJc w:val="left"/>
      <w:pPr>
        <w:ind w:left="4396" w:hanging="360"/>
      </w:pPr>
    </w:lvl>
    <w:lvl w:ilvl="7" w:tplc="041A0019" w:tentative="1">
      <w:start w:val="1"/>
      <w:numFmt w:val="lowerLetter"/>
      <w:lvlText w:val="%8."/>
      <w:lvlJc w:val="left"/>
      <w:pPr>
        <w:ind w:left="5116" w:hanging="360"/>
      </w:pPr>
    </w:lvl>
    <w:lvl w:ilvl="8" w:tplc="041A001B" w:tentative="1">
      <w:start w:val="1"/>
      <w:numFmt w:val="lowerRoman"/>
      <w:lvlText w:val="%9."/>
      <w:lvlJc w:val="right"/>
      <w:pPr>
        <w:ind w:left="5836" w:hanging="180"/>
      </w:pPr>
    </w:lvl>
  </w:abstractNum>
  <w:abstractNum w:abstractNumId="26" w15:restartNumberingAfterBreak="0">
    <w:nsid w:val="55DF2459"/>
    <w:multiLevelType w:val="multilevel"/>
    <w:tmpl w:val="662E52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8E3250"/>
    <w:multiLevelType w:val="hybridMultilevel"/>
    <w:tmpl w:val="4C84D3D8"/>
    <w:lvl w:ilvl="0" w:tplc="AD148B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DBD600A"/>
    <w:multiLevelType w:val="hybridMultilevel"/>
    <w:tmpl w:val="5B706F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7CB157B"/>
    <w:multiLevelType w:val="hybridMultilevel"/>
    <w:tmpl w:val="7324BAFE"/>
    <w:lvl w:ilvl="0" w:tplc="81B6A26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0F025C"/>
    <w:multiLevelType w:val="hybridMultilevel"/>
    <w:tmpl w:val="E03CFA9C"/>
    <w:lvl w:ilvl="0" w:tplc="92C8A596">
      <w:start w:val="1"/>
      <w:numFmt w:val="decimal"/>
      <w:lvlText w:val="%1."/>
      <w:lvlJc w:val="left"/>
      <w:pPr>
        <w:ind w:left="427" w:hanging="360"/>
      </w:pPr>
      <w:rPr>
        <w:rFonts w:hint="default"/>
      </w:rPr>
    </w:lvl>
    <w:lvl w:ilvl="1" w:tplc="041A0019" w:tentative="1">
      <w:start w:val="1"/>
      <w:numFmt w:val="lowerLetter"/>
      <w:lvlText w:val="%2."/>
      <w:lvlJc w:val="left"/>
      <w:pPr>
        <w:ind w:left="1147" w:hanging="360"/>
      </w:pPr>
    </w:lvl>
    <w:lvl w:ilvl="2" w:tplc="041A001B" w:tentative="1">
      <w:start w:val="1"/>
      <w:numFmt w:val="lowerRoman"/>
      <w:lvlText w:val="%3."/>
      <w:lvlJc w:val="right"/>
      <w:pPr>
        <w:ind w:left="1867" w:hanging="180"/>
      </w:pPr>
    </w:lvl>
    <w:lvl w:ilvl="3" w:tplc="041A000F" w:tentative="1">
      <w:start w:val="1"/>
      <w:numFmt w:val="decimal"/>
      <w:lvlText w:val="%4."/>
      <w:lvlJc w:val="left"/>
      <w:pPr>
        <w:ind w:left="2587" w:hanging="360"/>
      </w:pPr>
    </w:lvl>
    <w:lvl w:ilvl="4" w:tplc="041A0019" w:tentative="1">
      <w:start w:val="1"/>
      <w:numFmt w:val="lowerLetter"/>
      <w:lvlText w:val="%5."/>
      <w:lvlJc w:val="left"/>
      <w:pPr>
        <w:ind w:left="3307" w:hanging="360"/>
      </w:pPr>
    </w:lvl>
    <w:lvl w:ilvl="5" w:tplc="041A001B" w:tentative="1">
      <w:start w:val="1"/>
      <w:numFmt w:val="lowerRoman"/>
      <w:lvlText w:val="%6."/>
      <w:lvlJc w:val="right"/>
      <w:pPr>
        <w:ind w:left="4027" w:hanging="180"/>
      </w:pPr>
    </w:lvl>
    <w:lvl w:ilvl="6" w:tplc="041A000F" w:tentative="1">
      <w:start w:val="1"/>
      <w:numFmt w:val="decimal"/>
      <w:lvlText w:val="%7."/>
      <w:lvlJc w:val="left"/>
      <w:pPr>
        <w:ind w:left="4747" w:hanging="360"/>
      </w:pPr>
    </w:lvl>
    <w:lvl w:ilvl="7" w:tplc="041A0019" w:tentative="1">
      <w:start w:val="1"/>
      <w:numFmt w:val="lowerLetter"/>
      <w:lvlText w:val="%8."/>
      <w:lvlJc w:val="left"/>
      <w:pPr>
        <w:ind w:left="5467" w:hanging="360"/>
      </w:pPr>
    </w:lvl>
    <w:lvl w:ilvl="8" w:tplc="041A001B" w:tentative="1">
      <w:start w:val="1"/>
      <w:numFmt w:val="lowerRoman"/>
      <w:lvlText w:val="%9."/>
      <w:lvlJc w:val="right"/>
      <w:pPr>
        <w:ind w:left="6187" w:hanging="180"/>
      </w:pPr>
    </w:lvl>
  </w:abstractNum>
  <w:abstractNum w:abstractNumId="31" w15:restartNumberingAfterBreak="0">
    <w:nsid w:val="7D9C1986"/>
    <w:multiLevelType w:val="hybridMultilevel"/>
    <w:tmpl w:val="2FDC6378"/>
    <w:lvl w:ilvl="0" w:tplc="AF0E5CC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60733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2182797">
    <w:abstractNumId w:val="8"/>
  </w:num>
  <w:num w:numId="3" w16cid:durableId="1883442559">
    <w:abstractNumId w:val="2"/>
  </w:num>
  <w:num w:numId="4" w16cid:durableId="981926383">
    <w:abstractNumId w:val="3"/>
  </w:num>
  <w:num w:numId="5" w16cid:durableId="453839204">
    <w:abstractNumId w:val="26"/>
  </w:num>
  <w:num w:numId="6" w16cid:durableId="774324234">
    <w:abstractNumId w:val="5"/>
  </w:num>
  <w:num w:numId="7" w16cid:durableId="442379442">
    <w:abstractNumId w:val="10"/>
  </w:num>
  <w:num w:numId="8" w16cid:durableId="881138456">
    <w:abstractNumId w:val="7"/>
  </w:num>
  <w:num w:numId="9" w16cid:durableId="872033341">
    <w:abstractNumId w:val="20"/>
  </w:num>
  <w:num w:numId="10" w16cid:durableId="1557277139">
    <w:abstractNumId w:val="29"/>
  </w:num>
  <w:num w:numId="11" w16cid:durableId="749157632">
    <w:abstractNumId w:val="4"/>
  </w:num>
  <w:num w:numId="12" w16cid:durableId="1957521771">
    <w:abstractNumId w:val="23"/>
  </w:num>
  <w:num w:numId="13" w16cid:durableId="1463109401">
    <w:abstractNumId w:val="21"/>
  </w:num>
  <w:num w:numId="14" w16cid:durableId="168105045">
    <w:abstractNumId w:val="14"/>
  </w:num>
  <w:num w:numId="15" w16cid:durableId="1757289084">
    <w:abstractNumId w:val="11"/>
  </w:num>
  <w:num w:numId="16" w16cid:durableId="1406341858">
    <w:abstractNumId w:val="18"/>
  </w:num>
  <w:num w:numId="17" w16cid:durableId="435902964">
    <w:abstractNumId w:val="22"/>
  </w:num>
  <w:num w:numId="18" w16cid:durableId="269750134">
    <w:abstractNumId w:val="6"/>
  </w:num>
  <w:num w:numId="19" w16cid:durableId="2069453876">
    <w:abstractNumId w:val="9"/>
  </w:num>
  <w:num w:numId="20" w16cid:durableId="1620331806">
    <w:abstractNumId w:val="19"/>
  </w:num>
  <w:num w:numId="21" w16cid:durableId="56827135">
    <w:abstractNumId w:val="24"/>
  </w:num>
  <w:num w:numId="22" w16cid:durableId="630869269">
    <w:abstractNumId w:val="0"/>
  </w:num>
  <w:num w:numId="23" w16cid:durableId="648747367">
    <w:abstractNumId w:val="13"/>
  </w:num>
  <w:num w:numId="24" w16cid:durableId="712921098">
    <w:abstractNumId w:val="16"/>
  </w:num>
  <w:num w:numId="25" w16cid:durableId="951714943">
    <w:abstractNumId w:val="28"/>
  </w:num>
  <w:num w:numId="26" w16cid:durableId="1675523420">
    <w:abstractNumId w:val="27"/>
  </w:num>
  <w:num w:numId="27" w16cid:durableId="1890677821">
    <w:abstractNumId w:val="12"/>
  </w:num>
  <w:num w:numId="28" w16cid:durableId="301810724">
    <w:abstractNumId w:val="30"/>
  </w:num>
  <w:num w:numId="29" w16cid:durableId="66267663">
    <w:abstractNumId w:val="15"/>
  </w:num>
  <w:num w:numId="30" w16cid:durableId="1308893694">
    <w:abstractNumId w:val="1"/>
  </w:num>
  <w:num w:numId="31" w16cid:durableId="1049887626">
    <w:abstractNumId w:val="17"/>
  </w:num>
  <w:num w:numId="32" w16cid:durableId="13221256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DC"/>
    <w:rsid w:val="002B07DC"/>
    <w:rsid w:val="003D2346"/>
    <w:rsid w:val="00425772"/>
    <w:rsid w:val="009520EF"/>
    <w:rsid w:val="00B4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DD035-27A9-44A7-8B47-D9A7E08E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D2346"/>
    <w:pPr>
      <w:keepNext/>
      <w:keepLines/>
      <w:spacing w:before="480" w:after="0"/>
      <w:outlineLvl w:val="0"/>
    </w:pPr>
    <w:rPr>
      <w:rFonts w:ascii="Cambria" w:eastAsia="Times New Roman" w:hAnsi="Cambria" w:cs="Times New Roman"/>
      <w:color w:val="365F91"/>
      <w:sz w:val="32"/>
      <w:szCs w:val="32"/>
    </w:rPr>
  </w:style>
  <w:style w:type="paragraph" w:styleId="Heading2">
    <w:name w:val="heading 2"/>
    <w:basedOn w:val="Normal"/>
    <w:next w:val="Normal"/>
    <w:link w:val="Heading2Char"/>
    <w:uiPriority w:val="9"/>
    <w:qFormat/>
    <w:rsid w:val="003D2346"/>
    <w:pPr>
      <w:keepNext/>
      <w:spacing w:after="0" w:line="240" w:lineRule="auto"/>
      <w:outlineLvl w:val="1"/>
    </w:pPr>
    <w:rPr>
      <w:rFonts w:ascii="Times New Roman" w:eastAsia="Times New Roman" w:hAnsi="Times New Roman" w:cs="Times New Roman"/>
      <w:b/>
      <w:bCs/>
      <w:sz w:val="24"/>
      <w:szCs w:val="24"/>
      <w:lang w:val="hr-HR"/>
    </w:rPr>
  </w:style>
  <w:style w:type="paragraph" w:styleId="Heading3">
    <w:name w:val="heading 3"/>
    <w:basedOn w:val="Normal"/>
    <w:next w:val="Normal"/>
    <w:link w:val="Heading3Char"/>
    <w:uiPriority w:val="9"/>
    <w:semiHidden/>
    <w:unhideWhenUsed/>
    <w:qFormat/>
    <w:rsid w:val="003D2346"/>
    <w:pPr>
      <w:keepNext/>
      <w:keepLines/>
      <w:spacing w:before="200" w:after="0"/>
      <w:outlineLvl w:val="2"/>
    </w:pPr>
    <w:rPr>
      <w:rFonts w:ascii="Cambria" w:eastAsia="Times New Roman" w:hAnsi="Cambria" w:cs="Times New Roman"/>
      <w:color w:val="243F60"/>
      <w:sz w:val="24"/>
      <w:szCs w:val="24"/>
    </w:rPr>
  </w:style>
  <w:style w:type="paragraph" w:styleId="Heading4">
    <w:name w:val="heading 4"/>
    <w:basedOn w:val="Normal"/>
    <w:next w:val="Normal"/>
    <w:link w:val="Heading4Char"/>
    <w:uiPriority w:val="9"/>
    <w:semiHidden/>
    <w:unhideWhenUsed/>
    <w:qFormat/>
    <w:rsid w:val="003D2346"/>
    <w:pPr>
      <w:keepNext/>
      <w:keepLines/>
      <w:spacing w:before="200" w:after="0"/>
      <w:outlineLvl w:val="3"/>
    </w:pPr>
    <w:rPr>
      <w:rFonts w:ascii="Cambria" w:eastAsia="Times New Roman" w:hAnsi="Cambria" w:cs="Times New Roman"/>
      <w:i/>
      <w:iCs/>
      <w:color w:val="365F91"/>
      <w:sz w:val="24"/>
    </w:rPr>
  </w:style>
  <w:style w:type="paragraph" w:styleId="Heading9">
    <w:name w:val="heading 9"/>
    <w:basedOn w:val="Normal"/>
    <w:next w:val="Normal"/>
    <w:link w:val="Heading9Char"/>
    <w:uiPriority w:val="9"/>
    <w:semiHidden/>
    <w:unhideWhenUsed/>
    <w:qFormat/>
    <w:rsid w:val="003D2346"/>
    <w:pPr>
      <w:keepNext/>
      <w:keepLines/>
      <w:spacing w:before="200" w:after="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1">
    <w:name w:val="Naslov 11"/>
    <w:basedOn w:val="Normal"/>
    <w:next w:val="Normal"/>
    <w:uiPriority w:val="1"/>
    <w:qFormat/>
    <w:rsid w:val="003D2346"/>
    <w:pPr>
      <w:keepNext/>
      <w:keepLines/>
      <w:spacing w:before="240" w:after="0" w:line="259" w:lineRule="auto"/>
      <w:outlineLvl w:val="0"/>
    </w:pPr>
    <w:rPr>
      <w:rFonts w:ascii="Cambria" w:eastAsia="Times New Roman" w:hAnsi="Cambria" w:cs="Times New Roman"/>
      <w:color w:val="365F91"/>
      <w:sz w:val="32"/>
      <w:szCs w:val="32"/>
      <w:lang w:val="hr-HR"/>
    </w:rPr>
  </w:style>
  <w:style w:type="character" w:customStyle="1" w:styleId="Heading2Char">
    <w:name w:val="Heading 2 Char"/>
    <w:basedOn w:val="DefaultParagraphFont"/>
    <w:link w:val="Heading2"/>
    <w:uiPriority w:val="9"/>
    <w:rsid w:val="003D2346"/>
    <w:rPr>
      <w:rFonts w:ascii="Times New Roman" w:eastAsia="Times New Roman" w:hAnsi="Times New Roman" w:cs="Times New Roman"/>
      <w:b/>
      <w:bCs/>
      <w:sz w:val="24"/>
      <w:szCs w:val="24"/>
      <w:lang w:val="hr-HR"/>
    </w:rPr>
  </w:style>
  <w:style w:type="paragraph" w:customStyle="1" w:styleId="Naslov31">
    <w:name w:val="Naslov 31"/>
    <w:basedOn w:val="Normal"/>
    <w:next w:val="Normal"/>
    <w:uiPriority w:val="9"/>
    <w:unhideWhenUsed/>
    <w:qFormat/>
    <w:rsid w:val="003D2346"/>
    <w:pPr>
      <w:keepNext/>
      <w:keepLines/>
      <w:spacing w:before="40" w:after="0" w:line="259" w:lineRule="auto"/>
      <w:outlineLvl w:val="2"/>
    </w:pPr>
    <w:rPr>
      <w:rFonts w:ascii="Cambria" w:eastAsia="Times New Roman" w:hAnsi="Cambria" w:cs="Times New Roman"/>
      <w:color w:val="243F60"/>
      <w:sz w:val="24"/>
      <w:szCs w:val="24"/>
      <w:lang w:val="hr-HR"/>
    </w:rPr>
  </w:style>
  <w:style w:type="paragraph" w:customStyle="1" w:styleId="Naslov41">
    <w:name w:val="Naslov 41"/>
    <w:basedOn w:val="Normal"/>
    <w:next w:val="Normal"/>
    <w:uiPriority w:val="9"/>
    <w:unhideWhenUsed/>
    <w:qFormat/>
    <w:rsid w:val="003D2346"/>
    <w:pPr>
      <w:keepNext/>
      <w:keepLines/>
      <w:spacing w:before="40" w:after="0" w:line="259" w:lineRule="auto"/>
      <w:outlineLvl w:val="3"/>
    </w:pPr>
    <w:rPr>
      <w:rFonts w:ascii="Cambria" w:eastAsia="Times New Roman" w:hAnsi="Cambria" w:cs="Times New Roman"/>
      <w:i/>
      <w:iCs/>
      <w:color w:val="365F91"/>
      <w:sz w:val="24"/>
      <w:lang w:val="hr-HR"/>
    </w:rPr>
  </w:style>
  <w:style w:type="paragraph" w:customStyle="1" w:styleId="Naslov91">
    <w:name w:val="Naslov 91"/>
    <w:basedOn w:val="Normal"/>
    <w:next w:val="Normal"/>
    <w:uiPriority w:val="9"/>
    <w:unhideWhenUsed/>
    <w:qFormat/>
    <w:rsid w:val="003D2346"/>
    <w:pPr>
      <w:keepNext/>
      <w:keepLines/>
      <w:spacing w:before="40" w:after="0" w:line="259" w:lineRule="auto"/>
      <w:outlineLvl w:val="8"/>
    </w:pPr>
    <w:rPr>
      <w:rFonts w:ascii="Cambria" w:eastAsia="Times New Roman" w:hAnsi="Cambria" w:cs="Times New Roman"/>
      <w:i/>
      <w:iCs/>
      <w:color w:val="272727"/>
      <w:sz w:val="21"/>
      <w:szCs w:val="21"/>
      <w:lang w:val="hr-HR"/>
    </w:rPr>
  </w:style>
  <w:style w:type="numbering" w:customStyle="1" w:styleId="Bezpopisa1">
    <w:name w:val="Bez popisa1"/>
    <w:next w:val="NoList"/>
    <w:uiPriority w:val="99"/>
    <w:semiHidden/>
    <w:unhideWhenUsed/>
    <w:rsid w:val="003D2346"/>
  </w:style>
  <w:style w:type="character" w:customStyle="1" w:styleId="Heading1Char">
    <w:name w:val="Heading 1 Char"/>
    <w:basedOn w:val="DefaultParagraphFont"/>
    <w:link w:val="Heading1"/>
    <w:uiPriority w:val="1"/>
    <w:rsid w:val="003D2346"/>
    <w:rPr>
      <w:rFonts w:ascii="Cambria" w:eastAsia="Times New Roman" w:hAnsi="Cambria" w:cs="Times New Roman"/>
      <w:color w:val="365F91"/>
      <w:sz w:val="32"/>
      <w:szCs w:val="32"/>
    </w:rPr>
  </w:style>
  <w:style w:type="character" w:customStyle="1" w:styleId="Heading3Char">
    <w:name w:val="Heading 3 Char"/>
    <w:basedOn w:val="DefaultParagraphFont"/>
    <w:link w:val="Heading3"/>
    <w:uiPriority w:val="9"/>
    <w:rsid w:val="003D2346"/>
    <w:rPr>
      <w:rFonts w:ascii="Cambria" w:eastAsia="Times New Roman" w:hAnsi="Cambria" w:cs="Times New Roman"/>
      <w:color w:val="243F60"/>
      <w:sz w:val="24"/>
      <w:szCs w:val="24"/>
    </w:rPr>
  </w:style>
  <w:style w:type="character" w:customStyle="1" w:styleId="Heading4Char">
    <w:name w:val="Heading 4 Char"/>
    <w:basedOn w:val="DefaultParagraphFont"/>
    <w:link w:val="Heading4"/>
    <w:uiPriority w:val="9"/>
    <w:rsid w:val="003D2346"/>
    <w:rPr>
      <w:rFonts w:ascii="Cambria" w:eastAsia="Times New Roman" w:hAnsi="Cambria" w:cs="Times New Roman"/>
      <w:i/>
      <w:iCs/>
      <w:color w:val="365F91"/>
      <w:sz w:val="24"/>
    </w:rPr>
  </w:style>
  <w:style w:type="character" w:customStyle="1" w:styleId="Heading9Char">
    <w:name w:val="Heading 9 Char"/>
    <w:basedOn w:val="DefaultParagraphFont"/>
    <w:link w:val="Heading9"/>
    <w:uiPriority w:val="9"/>
    <w:rsid w:val="003D2346"/>
    <w:rPr>
      <w:rFonts w:ascii="Cambria" w:eastAsia="Times New Roman" w:hAnsi="Cambria" w:cs="Times New Roman"/>
      <w:i/>
      <w:iCs/>
      <w:color w:val="272727"/>
      <w:sz w:val="21"/>
      <w:szCs w:val="21"/>
    </w:rPr>
  </w:style>
  <w:style w:type="paragraph" w:styleId="BalloonText">
    <w:name w:val="Balloon Text"/>
    <w:basedOn w:val="Normal"/>
    <w:link w:val="BalloonTextChar"/>
    <w:uiPriority w:val="99"/>
    <w:semiHidden/>
    <w:unhideWhenUsed/>
    <w:rsid w:val="003D2346"/>
    <w:pPr>
      <w:spacing w:after="0" w:line="240" w:lineRule="auto"/>
    </w:pPr>
    <w:rPr>
      <w:rFonts w:ascii="Segoe UI" w:hAnsi="Segoe UI" w:cs="Segoe UI"/>
      <w:sz w:val="18"/>
      <w:szCs w:val="18"/>
      <w:lang w:val="hr-HR"/>
    </w:rPr>
  </w:style>
  <w:style w:type="character" w:customStyle="1" w:styleId="BalloonTextChar">
    <w:name w:val="Balloon Text Char"/>
    <w:basedOn w:val="DefaultParagraphFont"/>
    <w:link w:val="BalloonText"/>
    <w:uiPriority w:val="99"/>
    <w:semiHidden/>
    <w:rsid w:val="003D2346"/>
    <w:rPr>
      <w:rFonts w:ascii="Segoe UI" w:hAnsi="Segoe UI" w:cs="Segoe UI"/>
      <w:sz w:val="18"/>
      <w:szCs w:val="18"/>
      <w:lang w:val="hr-HR"/>
    </w:rPr>
  </w:style>
  <w:style w:type="character" w:styleId="Hyperlink">
    <w:name w:val="Hyperlink"/>
    <w:basedOn w:val="DefaultParagraphFont"/>
    <w:uiPriority w:val="99"/>
    <w:unhideWhenUsed/>
    <w:rsid w:val="003D2346"/>
    <w:rPr>
      <w:color w:val="0563C1"/>
      <w:u w:val="single"/>
    </w:rPr>
  </w:style>
  <w:style w:type="character" w:styleId="FollowedHyperlink">
    <w:name w:val="FollowedHyperlink"/>
    <w:basedOn w:val="DefaultParagraphFont"/>
    <w:uiPriority w:val="99"/>
    <w:unhideWhenUsed/>
    <w:rsid w:val="003D2346"/>
    <w:rPr>
      <w:color w:val="954F72"/>
      <w:u w:val="single"/>
    </w:rPr>
  </w:style>
  <w:style w:type="paragraph" w:customStyle="1" w:styleId="xl65">
    <w:name w:val="xl65"/>
    <w:basedOn w:val="Normal"/>
    <w:rsid w:val="003D2346"/>
    <w:pPr>
      <w:shd w:val="clear" w:color="000000" w:fill="FFFFFF"/>
      <w:spacing w:before="100" w:beforeAutospacing="1" w:after="100" w:afterAutospacing="1" w:line="240" w:lineRule="auto"/>
    </w:pPr>
    <w:rPr>
      <w:rFonts w:ascii="Arial" w:eastAsia="Times New Roman" w:hAnsi="Arial" w:cs="Arial"/>
      <w:sz w:val="24"/>
      <w:szCs w:val="24"/>
      <w:lang w:val="hr-HR" w:eastAsia="hr-HR"/>
    </w:rPr>
  </w:style>
  <w:style w:type="paragraph" w:customStyle="1" w:styleId="xl66">
    <w:name w:val="xl66"/>
    <w:basedOn w:val="Normal"/>
    <w:rsid w:val="003D23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val="hr-HR" w:eastAsia="hr-HR"/>
    </w:rPr>
  </w:style>
  <w:style w:type="paragraph" w:customStyle="1" w:styleId="xl67">
    <w:name w:val="xl67"/>
    <w:basedOn w:val="Normal"/>
    <w:rsid w:val="003D23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16"/>
      <w:szCs w:val="16"/>
      <w:lang w:val="hr-HR" w:eastAsia="hr-HR"/>
    </w:rPr>
  </w:style>
  <w:style w:type="paragraph" w:customStyle="1" w:styleId="xl68">
    <w:name w:val="xl68"/>
    <w:basedOn w:val="Normal"/>
    <w:rsid w:val="003D2346"/>
    <w:pPr>
      <w:shd w:val="clear" w:color="000000" w:fill="FFFFFF"/>
      <w:spacing w:before="100" w:beforeAutospacing="1" w:after="100" w:afterAutospacing="1" w:line="240" w:lineRule="auto"/>
    </w:pPr>
    <w:rPr>
      <w:rFonts w:ascii="Arial" w:eastAsia="Times New Roman" w:hAnsi="Arial" w:cs="Arial"/>
      <w:sz w:val="24"/>
      <w:szCs w:val="24"/>
      <w:lang w:val="hr-HR" w:eastAsia="hr-HR"/>
    </w:rPr>
  </w:style>
  <w:style w:type="paragraph" w:customStyle="1" w:styleId="xl69">
    <w:name w:val="xl69"/>
    <w:basedOn w:val="Normal"/>
    <w:rsid w:val="003D23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val="hr-HR" w:eastAsia="hr-HR"/>
    </w:rPr>
  </w:style>
  <w:style w:type="paragraph" w:customStyle="1" w:styleId="xl70">
    <w:name w:val="xl70"/>
    <w:basedOn w:val="Normal"/>
    <w:rsid w:val="003D23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hr-HR" w:eastAsia="hr-HR"/>
    </w:rPr>
  </w:style>
  <w:style w:type="paragraph" w:customStyle="1" w:styleId="xl71">
    <w:name w:val="xl71"/>
    <w:basedOn w:val="Normal"/>
    <w:rsid w:val="003D23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24"/>
      <w:szCs w:val="24"/>
      <w:lang w:val="hr-HR" w:eastAsia="hr-HR"/>
    </w:rPr>
  </w:style>
  <w:style w:type="paragraph" w:customStyle="1" w:styleId="xl72">
    <w:name w:val="xl72"/>
    <w:basedOn w:val="Normal"/>
    <w:rsid w:val="003D23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val="hr-HR" w:eastAsia="hr-HR"/>
    </w:rPr>
  </w:style>
  <w:style w:type="paragraph" w:customStyle="1" w:styleId="xl73">
    <w:name w:val="xl73"/>
    <w:basedOn w:val="Normal"/>
    <w:rsid w:val="003D2346"/>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hr-HR" w:eastAsia="hr-HR"/>
    </w:rPr>
  </w:style>
  <w:style w:type="paragraph" w:customStyle="1" w:styleId="xl74">
    <w:name w:val="xl74"/>
    <w:basedOn w:val="Normal"/>
    <w:rsid w:val="003D2346"/>
    <w:pPr>
      <w:shd w:val="clear" w:color="000000" w:fill="FFFFFF"/>
      <w:spacing w:before="100" w:beforeAutospacing="1" w:after="100" w:afterAutospacing="1" w:line="240" w:lineRule="auto"/>
      <w:textAlignment w:val="center"/>
    </w:pPr>
    <w:rPr>
      <w:rFonts w:ascii="Arial" w:eastAsia="Times New Roman" w:hAnsi="Arial" w:cs="Arial"/>
      <w:sz w:val="24"/>
      <w:szCs w:val="24"/>
      <w:lang w:val="hr-HR" w:eastAsia="hr-HR"/>
    </w:rPr>
  </w:style>
  <w:style w:type="paragraph" w:customStyle="1" w:styleId="xl75">
    <w:name w:val="xl75"/>
    <w:basedOn w:val="Normal"/>
    <w:rsid w:val="003D23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val="hr-HR" w:eastAsia="hr-HR"/>
    </w:rPr>
  </w:style>
  <w:style w:type="paragraph" w:customStyle="1" w:styleId="xl76">
    <w:name w:val="xl76"/>
    <w:basedOn w:val="Normal"/>
    <w:rsid w:val="003D23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val="hr-HR" w:eastAsia="hr-HR"/>
    </w:rPr>
  </w:style>
  <w:style w:type="paragraph" w:customStyle="1" w:styleId="xl77">
    <w:name w:val="xl77"/>
    <w:basedOn w:val="Normal"/>
    <w:rsid w:val="003D23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val="hr-HR" w:eastAsia="hr-HR"/>
    </w:rPr>
  </w:style>
  <w:style w:type="paragraph" w:customStyle="1" w:styleId="xl78">
    <w:name w:val="xl78"/>
    <w:basedOn w:val="Normal"/>
    <w:rsid w:val="003D23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val="hr-HR" w:eastAsia="hr-HR"/>
    </w:rPr>
  </w:style>
  <w:style w:type="paragraph" w:customStyle="1" w:styleId="xl79">
    <w:name w:val="xl79"/>
    <w:basedOn w:val="Normal"/>
    <w:rsid w:val="003D23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hr-HR" w:eastAsia="hr-HR"/>
    </w:rPr>
  </w:style>
  <w:style w:type="paragraph" w:customStyle="1" w:styleId="xl80">
    <w:name w:val="xl80"/>
    <w:basedOn w:val="Normal"/>
    <w:rsid w:val="003D23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val="hr-HR" w:eastAsia="hr-HR"/>
    </w:rPr>
  </w:style>
  <w:style w:type="paragraph" w:customStyle="1" w:styleId="xl81">
    <w:name w:val="xl81"/>
    <w:basedOn w:val="Normal"/>
    <w:rsid w:val="003D2346"/>
    <w:pPr>
      <w:shd w:val="clear" w:color="000000" w:fill="FFFFFF"/>
      <w:spacing w:before="100" w:beforeAutospacing="1" w:after="100" w:afterAutospacing="1" w:line="240" w:lineRule="auto"/>
      <w:jc w:val="center"/>
    </w:pPr>
    <w:rPr>
      <w:rFonts w:ascii="Arial" w:eastAsia="Times New Roman" w:hAnsi="Arial" w:cs="Arial"/>
      <w:sz w:val="24"/>
      <w:szCs w:val="24"/>
      <w:lang w:val="hr-HR" w:eastAsia="hr-HR"/>
    </w:rPr>
  </w:style>
  <w:style w:type="paragraph" w:customStyle="1" w:styleId="xl82">
    <w:name w:val="xl82"/>
    <w:basedOn w:val="Normal"/>
    <w:rsid w:val="003D234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hr-HR" w:eastAsia="hr-HR"/>
    </w:rPr>
  </w:style>
  <w:style w:type="paragraph" w:customStyle="1" w:styleId="xl83">
    <w:name w:val="xl83"/>
    <w:basedOn w:val="Normal"/>
    <w:rsid w:val="003D234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hr-HR" w:eastAsia="hr-HR"/>
    </w:rPr>
  </w:style>
  <w:style w:type="paragraph" w:customStyle="1" w:styleId="xl84">
    <w:name w:val="xl84"/>
    <w:basedOn w:val="Normal"/>
    <w:rsid w:val="003D23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val="hr-HR" w:eastAsia="hr-HR"/>
    </w:rPr>
  </w:style>
  <w:style w:type="paragraph" w:customStyle="1" w:styleId="xl85">
    <w:name w:val="xl85"/>
    <w:basedOn w:val="Normal"/>
    <w:rsid w:val="003D23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val="hr-HR" w:eastAsia="hr-HR"/>
    </w:rPr>
  </w:style>
  <w:style w:type="paragraph" w:customStyle="1" w:styleId="xl86">
    <w:name w:val="xl86"/>
    <w:basedOn w:val="Normal"/>
    <w:rsid w:val="003D23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val="hr-HR" w:eastAsia="hr-HR"/>
    </w:rPr>
  </w:style>
  <w:style w:type="paragraph" w:customStyle="1" w:styleId="xl87">
    <w:name w:val="xl87"/>
    <w:basedOn w:val="Normal"/>
    <w:rsid w:val="003D23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val="hr-HR" w:eastAsia="hr-HR"/>
    </w:rPr>
  </w:style>
  <w:style w:type="paragraph" w:customStyle="1" w:styleId="xl88">
    <w:name w:val="xl88"/>
    <w:basedOn w:val="Normal"/>
    <w:rsid w:val="003D234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hr-HR" w:eastAsia="hr-HR"/>
    </w:rPr>
  </w:style>
  <w:style w:type="paragraph" w:customStyle="1" w:styleId="xl89">
    <w:name w:val="xl89"/>
    <w:basedOn w:val="Normal"/>
    <w:rsid w:val="003D234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val="hr-HR" w:eastAsia="hr-HR"/>
    </w:rPr>
  </w:style>
  <w:style w:type="paragraph" w:customStyle="1" w:styleId="xl90">
    <w:name w:val="xl90"/>
    <w:basedOn w:val="Normal"/>
    <w:rsid w:val="003D234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val="hr-HR" w:eastAsia="hr-HR"/>
    </w:rPr>
  </w:style>
  <w:style w:type="paragraph" w:customStyle="1" w:styleId="xl91">
    <w:name w:val="xl91"/>
    <w:basedOn w:val="Normal"/>
    <w:rsid w:val="003D23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val="hr-HR" w:eastAsia="hr-HR"/>
    </w:rPr>
  </w:style>
  <w:style w:type="paragraph" w:customStyle="1" w:styleId="xl92">
    <w:name w:val="xl92"/>
    <w:basedOn w:val="Normal"/>
    <w:rsid w:val="003D23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val="hr-HR" w:eastAsia="hr-HR"/>
    </w:rPr>
  </w:style>
  <w:style w:type="paragraph" w:customStyle="1" w:styleId="xl93">
    <w:name w:val="xl93"/>
    <w:basedOn w:val="Normal"/>
    <w:rsid w:val="003D2346"/>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val="hr-HR" w:eastAsia="hr-HR"/>
    </w:rPr>
  </w:style>
  <w:style w:type="paragraph" w:customStyle="1" w:styleId="xl94">
    <w:name w:val="xl94"/>
    <w:basedOn w:val="Normal"/>
    <w:rsid w:val="003D234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hr-HR" w:eastAsia="hr-HR"/>
    </w:rPr>
  </w:style>
  <w:style w:type="paragraph" w:styleId="Header">
    <w:name w:val="header"/>
    <w:basedOn w:val="Normal"/>
    <w:link w:val="HeaderChar"/>
    <w:uiPriority w:val="99"/>
    <w:unhideWhenUsed/>
    <w:rsid w:val="003D2346"/>
    <w:pPr>
      <w:tabs>
        <w:tab w:val="center" w:pos="4536"/>
        <w:tab w:val="right" w:pos="9072"/>
      </w:tabs>
      <w:spacing w:after="0" w:line="240" w:lineRule="auto"/>
    </w:pPr>
    <w:rPr>
      <w:lang w:val="hr-HR"/>
    </w:rPr>
  </w:style>
  <w:style w:type="character" w:customStyle="1" w:styleId="HeaderChar">
    <w:name w:val="Header Char"/>
    <w:basedOn w:val="DefaultParagraphFont"/>
    <w:link w:val="Header"/>
    <w:uiPriority w:val="99"/>
    <w:rsid w:val="003D2346"/>
    <w:rPr>
      <w:lang w:val="hr-HR"/>
    </w:rPr>
  </w:style>
  <w:style w:type="paragraph" w:styleId="Footer">
    <w:name w:val="footer"/>
    <w:basedOn w:val="Normal"/>
    <w:link w:val="FooterChar"/>
    <w:uiPriority w:val="99"/>
    <w:unhideWhenUsed/>
    <w:rsid w:val="003D2346"/>
    <w:pPr>
      <w:tabs>
        <w:tab w:val="center" w:pos="4536"/>
        <w:tab w:val="right" w:pos="9072"/>
      </w:tabs>
      <w:spacing w:after="0" w:line="240" w:lineRule="auto"/>
    </w:pPr>
    <w:rPr>
      <w:lang w:val="hr-HR"/>
    </w:rPr>
  </w:style>
  <w:style w:type="character" w:customStyle="1" w:styleId="FooterChar">
    <w:name w:val="Footer Char"/>
    <w:basedOn w:val="DefaultParagraphFont"/>
    <w:link w:val="Footer"/>
    <w:uiPriority w:val="99"/>
    <w:rsid w:val="003D2346"/>
    <w:rPr>
      <w:lang w:val="hr-HR"/>
    </w:rPr>
  </w:style>
  <w:style w:type="paragraph" w:customStyle="1" w:styleId="Default">
    <w:name w:val="Default"/>
    <w:rsid w:val="003D2346"/>
    <w:pPr>
      <w:autoSpaceDE w:val="0"/>
      <w:autoSpaceDN w:val="0"/>
      <w:adjustRightInd w:val="0"/>
      <w:spacing w:after="0" w:line="240" w:lineRule="auto"/>
    </w:pPr>
    <w:rPr>
      <w:rFonts w:ascii="Arial" w:eastAsia="Calibri" w:hAnsi="Arial" w:cs="Arial"/>
      <w:color w:val="000000"/>
      <w:sz w:val="24"/>
      <w:szCs w:val="24"/>
      <w:lang w:val="hr-HR"/>
    </w:rPr>
  </w:style>
  <w:style w:type="paragraph" w:styleId="ListParagraph">
    <w:name w:val="List Paragraph"/>
    <w:basedOn w:val="Normal"/>
    <w:uiPriority w:val="34"/>
    <w:qFormat/>
    <w:rsid w:val="003D2346"/>
    <w:pPr>
      <w:spacing w:after="160" w:line="259" w:lineRule="auto"/>
      <w:ind w:left="720"/>
      <w:contextualSpacing/>
    </w:pPr>
    <w:rPr>
      <w:rFonts w:ascii="Calibri" w:eastAsia="Calibri" w:hAnsi="Calibri" w:cs="Times New Roman"/>
      <w:lang w:val="hr-HR"/>
    </w:rPr>
  </w:style>
  <w:style w:type="paragraph" w:styleId="NoSpacing">
    <w:name w:val="No Spacing"/>
    <w:link w:val="NoSpacingChar"/>
    <w:uiPriority w:val="1"/>
    <w:qFormat/>
    <w:rsid w:val="003D2346"/>
    <w:pPr>
      <w:spacing w:after="0" w:line="240" w:lineRule="auto"/>
    </w:pPr>
    <w:rPr>
      <w:rFonts w:ascii="Calibri" w:eastAsia="Calibri" w:hAnsi="Calibri" w:cs="Times New Roman"/>
      <w:lang w:val="hr-HR"/>
    </w:rPr>
  </w:style>
  <w:style w:type="paragraph" w:customStyle="1" w:styleId="Tekst">
    <w:name w:val="Tekst"/>
    <w:basedOn w:val="BodyText"/>
    <w:uiPriority w:val="99"/>
    <w:rsid w:val="003D2346"/>
    <w:pPr>
      <w:spacing w:after="0" w:line="300" w:lineRule="exact"/>
      <w:jc w:val="both"/>
    </w:pPr>
    <w:rPr>
      <w:rFonts w:ascii="Trebuchet MS" w:eastAsia="Times New Roman" w:hAnsi="Trebuchet MS" w:cs="Times New Roman"/>
      <w:sz w:val="20"/>
      <w:szCs w:val="20"/>
      <w:lang w:eastAsia="hr-HR"/>
    </w:rPr>
  </w:style>
  <w:style w:type="paragraph" w:styleId="BodyText">
    <w:name w:val="Body Text"/>
    <w:basedOn w:val="Normal"/>
    <w:link w:val="BodyTextChar"/>
    <w:uiPriority w:val="1"/>
    <w:unhideWhenUsed/>
    <w:qFormat/>
    <w:rsid w:val="003D2346"/>
    <w:pPr>
      <w:spacing w:after="120" w:line="259" w:lineRule="auto"/>
    </w:pPr>
    <w:rPr>
      <w:lang w:val="hr-HR"/>
    </w:rPr>
  </w:style>
  <w:style w:type="character" w:customStyle="1" w:styleId="BodyTextChar">
    <w:name w:val="Body Text Char"/>
    <w:basedOn w:val="DefaultParagraphFont"/>
    <w:link w:val="BodyText"/>
    <w:uiPriority w:val="1"/>
    <w:rsid w:val="003D2346"/>
    <w:rPr>
      <w:lang w:val="hr-HR"/>
    </w:rPr>
  </w:style>
  <w:style w:type="paragraph" w:styleId="NormalWeb">
    <w:name w:val="Normal (Web)"/>
    <w:basedOn w:val="Normal"/>
    <w:uiPriority w:val="99"/>
    <w:rsid w:val="003D234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Internetskapoveznica">
    <w:name w:val="Internetska poveznica"/>
    <w:uiPriority w:val="99"/>
    <w:rsid w:val="003D2346"/>
    <w:rPr>
      <w:rFonts w:ascii="Times New Roman" w:hAnsi="Times New Roman"/>
      <w:color w:val="0000FF"/>
      <w:u w:val="single"/>
    </w:rPr>
  </w:style>
  <w:style w:type="paragraph" w:customStyle="1" w:styleId="xl95">
    <w:name w:val="xl95"/>
    <w:basedOn w:val="Normal"/>
    <w:rsid w:val="003D2346"/>
    <w:pPr>
      <w:shd w:val="clear" w:color="000000" w:fill="9999FF"/>
      <w:spacing w:before="100" w:beforeAutospacing="1" w:after="100" w:afterAutospacing="1" w:line="240" w:lineRule="auto"/>
      <w:jc w:val="center"/>
    </w:pPr>
    <w:rPr>
      <w:rFonts w:ascii="Arial" w:eastAsia="Times New Roman" w:hAnsi="Arial" w:cs="Arial"/>
      <w:b/>
      <w:bCs/>
      <w:sz w:val="24"/>
      <w:szCs w:val="24"/>
      <w:lang w:val="hr-HR" w:eastAsia="hr-HR"/>
    </w:rPr>
  </w:style>
  <w:style w:type="paragraph" w:customStyle="1" w:styleId="xl96">
    <w:name w:val="xl96"/>
    <w:basedOn w:val="Normal"/>
    <w:rsid w:val="003D2346"/>
    <w:pPr>
      <w:shd w:val="clear" w:color="000000" w:fill="9999FF"/>
      <w:spacing w:before="100" w:beforeAutospacing="1" w:after="100" w:afterAutospacing="1" w:line="240" w:lineRule="auto"/>
      <w:jc w:val="center"/>
    </w:pPr>
    <w:rPr>
      <w:rFonts w:ascii="Arial" w:eastAsia="Times New Roman" w:hAnsi="Arial" w:cs="Arial"/>
      <w:b/>
      <w:bCs/>
      <w:sz w:val="24"/>
      <w:szCs w:val="24"/>
      <w:lang w:val="hr-HR" w:eastAsia="hr-HR"/>
    </w:rPr>
  </w:style>
  <w:style w:type="paragraph" w:customStyle="1" w:styleId="xl97">
    <w:name w:val="xl97"/>
    <w:basedOn w:val="Normal"/>
    <w:rsid w:val="003D2346"/>
    <w:pPr>
      <w:shd w:val="clear" w:color="000000" w:fill="CCCCFF"/>
      <w:spacing w:before="100" w:beforeAutospacing="1" w:after="100" w:afterAutospacing="1" w:line="240" w:lineRule="auto"/>
      <w:jc w:val="center"/>
    </w:pPr>
    <w:rPr>
      <w:rFonts w:ascii="Arial" w:eastAsia="Times New Roman" w:hAnsi="Arial" w:cs="Arial"/>
      <w:b/>
      <w:bCs/>
      <w:color w:val="333333"/>
      <w:sz w:val="24"/>
      <w:szCs w:val="24"/>
      <w:lang w:val="hr-HR" w:eastAsia="hr-HR"/>
    </w:rPr>
  </w:style>
  <w:style w:type="paragraph" w:customStyle="1" w:styleId="xl98">
    <w:name w:val="xl98"/>
    <w:basedOn w:val="Normal"/>
    <w:rsid w:val="003D2346"/>
    <w:pPr>
      <w:shd w:val="clear" w:color="000000" w:fill="FF9900"/>
      <w:spacing w:before="100" w:beforeAutospacing="1" w:after="100" w:afterAutospacing="1" w:line="240" w:lineRule="auto"/>
      <w:jc w:val="center"/>
    </w:pPr>
    <w:rPr>
      <w:rFonts w:ascii="Arial" w:eastAsia="Times New Roman" w:hAnsi="Arial" w:cs="Arial"/>
      <w:b/>
      <w:bCs/>
      <w:sz w:val="24"/>
      <w:szCs w:val="24"/>
      <w:lang w:val="hr-HR" w:eastAsia="hr-HR"/>
    </w:rPr>
  </w:style>
  <w:style w:type="paragraph" w:customStyle="1" w:styleId="xl99">
    <w:name w:val="xl99"/>
    <w:basedOn w:val="Normal"/>
    <w:rsid w:val="003D2346"/>
    <w:pPr>
      <w:shd w:val="clear" w:color="000000" w:fill="FFFF99"/>
      <w:spacing w:before="100" w:beforeAutospacing="1" w:after="100" w:afterAutospacing="1" w:line="240" w:lineRule="auto"/>
      <w:jc w:val="center"/>
    </w:pPr>
    <w:rPr>
      <w:rFonts w:ascii="Arial" w:eastAsia="Times New Roman" w:hAnsi="Arial" w:cs="Arial"/>
      <w:b/>
      <w:bCs/>
      <w:sz w:val="24"/>
      <w:szCs w:val="24"/>
      <w:lang w:val="hr-HR" w:eastAsia="hr-HR"/>
    </w:rPr>
  </w:style>
  <w:style w:type="paragraph" w:customStyle="1" w:styleId="xl100">
    <w:name w:val="xl100"/>
    <w:basedOn w:val="Normal"/>
    <w:rsid w:val="003D2346"/>
    <w:pPr>
      <w:spacing w:before="100" w:beforeAutospacing="1" w:after="100" w:afterAutospacing="1" w:line="240" w:lineRule="auto"/>
      <w:jc w:val="center"/>
    </w:pPr>
    <w:rPr>
      <w:rFonts w:ascii="Arial" w:eastAsia="Times New Roman" w:hAnsi="Arial" w:cs="Arial"/>
      <w:b/>
      <w:bCs/>
      <w:sz w:val="24"/>
      <w:szCs w:val="24"/>
      <w:lang w:val="hr-HR" w:eastAsia="hr-HR"/>
    </w:rPr>
  </w:style>
  <w:style w:type="paragraph" w:customStyle="1" w:styleId="xl101">
    <w:name w:val="xl101"/>
    <w:basedOn w:val="Normal"/>
    <w:rsid w:val="003D2346"/>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paragraph" w:customStyle="1" w:styleId="xl102">
    <w:name w:val="xl102"/>
    <w:basedOn w:val="Normal"/>
    <w:rsid w:val="003D2346"/>
    <w:pPr>
      <w:shd w:val="clear" w:color="000000" w:fill="CCCCFF"/>
      <w:spacing w:before="100" w:beforeAutospacing="1" w:after="100" w:afterAutospacing="1" w:line="240" w:lineRule="auto"/>
      <w:jc w:val="center"/>
    </w:pPr>
    <w:rPr>
      <w:rFonts w:ascii="Arial" w:eastAsia="Times New Roman" w:hAnsi="Arial" w:cs="Arial"/>
      <w:b/>
      <w:bCs/>
      <w:color w:val="333333"/>
      <w:sz w:val="24"/>
      <w:szCs w:val="24"/>
      <w:lang w:val="hr-HR" w:eastAsia="hr-HR"/>
    </w:rPr>
  </w:style>
  <w:style w:type="paragraph" w:customStyle="1" w:styleId="xl103">
    <w:name w:val="xl103"/>
    <w:basedOn w:val="Normal"/>
    <w:rsid w:val="003D2346"/>
    <w:pPr>
      <w:shd w:val="clear" w:color="000000" w:fill="FF9900"/>
      <w:spacing w:before="100" w:beforeAutospacing="1" w:after="100" w:afterAutospacing="1" w:line="240" w:lineRule="auto"/>
      <w:jc w:val="center"/>
    </w:pPr>
    <w:rPr>
      <w:rFonts w:ascii="Arial" w:eastAsia="Times New Roman" w:hAnsi="Arial" w:cs="Arial"/>
      <w:b/>
      <w:bCs/>
      <w:sz w:val="24"/>
      <w:szCs w:val="24"/>
      <w:lang w:val="hr-HR" w:eastAsia="hr-HR"/>
    </w:rPr>
  </w:style>
  <w:style w:type="paragraph" w:customStyle="1" w:styleId="xl104">
    <w:name w:val="xl104"/>
    <w:basedOn w:val="Normal"/>
    <w:rsid w:val="003D2346"/>
    <w:pPr>
      <w:shd w:val="clear" w:color="000000" w:fill="FFFF99"/>
      <w:spacing w:before="100" w:beforeAutospacing="1" w:after="100" w:afterAutospacing="1" w:line="240" w:lineRule="auto"/>
      <w:jc w:val="center"/>
    </w:pPr>
    <w:rPr>
      <w:rFonts w:ascii="Arial" w:eastAsia="Times New Roman" w:hAnsi="Arial" w:cs="Arial"/>
      <w:b/>
      <w:bCs/>
      <w:sz w:val="24"/>
      <w:szCs w:val="24"/>
      <w:lang w:val="hr-HR" w:eastAsia="hr-HR"/>
    </w:rPr>
  </w:style>
  <w:style w:type="paragraph" w:customStyle="1" w:styleId="xl105">
    <w:name w:val="xl105"/>
    <w:basedOn w:val="Normal"/>
    <w:rsid w:val="003D2346"/>
    <w:pPr>
      <w:spacing w:before="100" w:beforeAutospacing="1" w:after="100" w:afterAutospacing="1" w:line="240" w:lineRule="auto"/>
      <w:jc w:val="center"/>
    </w:pPr>
    <w:rPr>
      <w:rFonts w:ascii="Arial" w:eastAsia="Times New Roman" w:hAnsi="Arial" w:cs="Arial"/>
      <w:b/>
      <w:bCs/>
      <w:sz w:val="24"/>
      <w:szCs w:val="24"/>
      <w:lang w:val="hr-HR" w:eastAsia="hr-HR"/>
    </w:rPr>
  </w:style>
  <w:style w:type="paragraph" w:customStyle="1" w:styleId="xl106">
    <w:name w:val="xl106"/>
    <w:basedOn w:val="Normal"/>
    <w:rsid w:val="003D2346"/>
    <w:pPr>
      <w:spacing w:before="100" w:beforeAutospacing="1" w:after="100" w:afterAutospacing="1" w:line="240" w:lineRule="auto"/>
      <w:jc w:val="center"/>
    </w:pPr>
    <w:rPr>
      <w:rFonts w:ascii="Times New Roman" w:eastAsia="Times New Roman" w:hAnsi="Times New Roman" w:cs="Times New Roman"/>
      <w:sz w:val="24"/>
      <w:szCs w:val="24"/>
      <w:lang w:val="hr-HR" w:eastAsia="hr-HR"/>
    </w:rPr>
  </w:style>
  <w:style w:type="paragraph" w:customStyle="1" w:styleId="xl107">
    <w:name w:val="xl107"/>
    <w:basedOn w:val="Normal"/>
    <w:rsid w:val="003D2346"/>
    <w:pPr>
      <w:shd w:val="clear" w:color="000000" w:fill="92D050"/>
      <w:spacing w:before="100" w:beforeAutospacing="1" w:after="100" w:afterAutospacing="1" w:line="240" w:lineRule="auto"/>
      <w:jc w:val="center"/>
    </w:pPr>
    <w:rPr>
      <w:rFonts w:ascii="Arial" w:eastAsia="Times New Roman" w:hAnsi="Arial" w:cs="Arial"/>
      <w:b/>
      <w:bCs/>
      <w:sz w:val="24"/>
      <w:szCs w:val="24"/>
      <w:lang w:val="hr-HR" w:eastAsia="hr-HR"/>
    </w:rPr>
  </w:style>
  <w:style w:type="paragraph" w:customStyle="1" w:styleId="xl108">
    <w:name w:val="xl108"/>
    <w:basedOn w:val="Normal"/>
    <w:rsid w:val="003D2346"/>
    <w:pPr>
      <w:shd w:val="clear" w:color="000000" w:fill="969696"/>
      <w:spacing w:before="100" w:beforeAutospacing="1" w:after="100" w:afterAutospacing="1" w:line="240" w:lineRule="auto"/>
      <w:jc w:val="center"/>
    </w:pPr>
    <w:rPr>
      <w:rFonts w:ascii="Arial" w:eastAsia="Times New Roman" w:hAnsi="Arial" w:cs="Arial"/>
      <w:b/>
      <w:bCs/>
      <w:sz w:val="24"/>
      <w:szCs w:val="24"/>
      <w:lang w:val="hr-HR" w:eastAsia="hr-HR"/>
    </w:rPr>
  </w:style>
  <w:style w:type="paragraph" w:customStyle="1" w:styleId="xl109">
    <w:name w:val="xl109"/>
    <w:basedOn w:val="Normal"/>
    <w:rsid w:val="003D2346"/>
    <w:pPr>
      <w:spacing w:before="100" w:beforeAutospacing="1" w:after="100" w:afterAutospacing="1" w:line="240" w:lineRule="auto"/>
    </w:pPr>
    <w:rPr>
      <w:rFonts w:ascii="Arial" w:eastAsia="Times New Roman" w:hAnsi="Arial" w:cs="Arial"/>
      <w:b/>
      <w:bCs/>
      <w:sz w:val="24"/>
      <w:szCs w:val="24"/>
      <w:lang w:val="hr-HR" w:eastAsia="hr-HR"/>
    </w:rPr>
  </w:style>
  <w:style w:type="paragraph" w:customStyle="1" w:styleId="xl110">
    <w:name w:val="xl110"/>
    <w:basedOn w:val="Normal"/>
    <w:rsid w:val="003D2346"/>
    <w:pPr>
      <w:shd w:val="clear" w:color="000000" w:fill="BFBFBF"/>
      <w:spacing w:before="100" w:beforeAutospacing="1" w:after="100" w:afterAutospacing="1" w:line="240" w:lineRule="auto"/>
    </w:pPr>
    <w:rPr>
      <w:rFonts w:ascii="Arial" w:eastAsia="Times New Roman" w:hAnsi="Arial" w:cs="Arial"/>
      <w:b/>
      <w:bCs/>
      <w:sz w:val="24"/>
      <w:szCs w:val="24"/>
      <w:lang w:val="hr-HR" w:eastAsia="hr-HR"/>
    </w:rPr>
  </w:style>
  <w:style w:type="paragraph" w:customStyle="1" w:styleId="xl111">
    <w:name w:val="xl111"/>
    <w:basedOn w:val="Normal"/>
    <w:uiPriority w:val="99"/>
    <w:rsid w:val="003D2346"/>
    <w:pPr>
      <w:shd w:val="clear" w:color="000000" w:fill="CCCCFF"/>
      <w:spacing w:before="100" w:beforeAutospacing="1" w:after="100" w:afterAutospacing="1" w:line="240" w:lineRule="auto"/>
    </w:pPr>
    <w:rPr>
      <w:rFonts w:ascii="Arial" w:eastAsia="Times New Roman" w:hAnsi="Arial" w:cs="Arial"/>
      <w:b/>
      <w:bCs/>
      <w:color w:val="333333"/>
      <w:sz w:val="24"/>
      <w:szCs w:val="24"/>
      <w:lang w:val="hr-HR" w:eastAsia="hr-HR"/>
    </w:rPr>
  </w:style>
  <w:style w:type="paragraph" w:customStyle="1" w:styleId="xl112">
    <w:name w:val="xl112"/>
    <w:basedOn w:val="Normal"/>
    <w:rsid w:val="003D2346"/>
    <w:pPr>
      <w:spacing w:before="100" w:beforeAutospacing="1" w:after="100" w:afterAutospacing="1" w:line="240" w:lineRule="auto"/>
    </w:pPr>
    <w:rPr>
      <w:rFonts w:ascii="Arial" w:eastAsia="Times New Roman" w:hAnsi="Arial" w:cs="Arial"/>
      <w:sz w:val="24"/>
      <w:szCs w:val="24"/>
      <w:lang w:val="hr-HR" w:eastAsia="hr-HR"/>
    </w:rPr>
  </w:style>
  <w:style w:type="character" w:styleId="Strong">
    <w:name w:val="Strong"/>
    <w:basedOn w:val="DefaultParagraphFont"/>
    <w:uiPriority w:val="99"/>
    <w:qFormat/>
    <w:rsid w:val="003D2346"/>
    <w:rPr>
      <w:rFonts w:cs="Times New Roman"/>
      <w:b/>
      <w:bCs/>
    </w:rPr>
  </w:style>
  <w:style w:type="paragraph" w:customStyle="1" w:styleId="xl113">
    <w:name w:val="xl113"/>
    <w:basedOn w:val="Normal"/>
    <w:rsid w:val="003D234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24"/>
      <w:szCs w:val="24"/>
      <w:lang w:val="hr-HR" w:eastAsia="hr-HR"/>
    </w:rPr>
  </w:style>
  <w:style w:type="paragraph" w:customStyle="1" w:styleId="xl114">
    <w:name w:val="xl114"/>
    <w:basedOn w:val="Normal"/>
    <w:rsid w:val="003D23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xl115">
    <w:name w:val="xl115"/>
    <w:basedOn w:val="Normal"/>
    <w:rsid w:val="003D234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xl116">
    <w:name w:val="xl116"/>
    <w:basedOn w:val="Normal"/>
    <w:rsid w:val="003D2346"/>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Arial" w:eastAsia="Times New Roman" w:hAnsi="Arial" w:cs="Arial"/>
      <w:b/>
      <w:bCs/>
      <w:sz w:val="24"/>
      <w:szCs w:val="24"/>
      <w:lang w:val="hr-HR" w:eastAsia="hr-HR"/>
    </w:rPr>
  </w:style>
  <w:style w:type="paragraph" w:customStyle="1" w:styleId="xl117">
    <w:name w:val="xl117"/>
    <w:basedOn w:val="Normal"/>
    <w:rsid w:val="003D234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Times New Roman" w:eastAsia="Times New Roman" w:hAnsi="Times New Roman" w:cs="Times New Roman"/>
      <w:b/>
      <w:bCs/>
      <w:sz w:val="24"/>
      <w:szCs w:val="24"/>
      <w:lang w:val="hr-HR" w:eastAsia="hr-HR"/>
    </w:rPr>
  </w:style>
  <w:style w:type="paragraph" w:customStyle="1" w:styleId="msonormal0">
    <w:name w:val="msonormal"/>
    <w:basedOn w:val="Normal"/>
    <w:rsid w:val="003D2346"/>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odyTextIndent">
    <w:name w:val="Body Text Indent"/>
    <w:basedOn w:val="Normal"/>
    <w:link w:val="BodyTextIndentChar"/>
    <w:uiPriority w:val="99"/>
    <w:semiHidden/>
    <w:unhideWhenUsed/>
    <w:rsid w:val="003D2346"/>
    <w:pPr>
      <w:spacing w:after="120" w:line="259" w:lineRule="auto"/>
      <w:ind w:left="283"/>
    </w:pPr>
    <w:rPr>
      <w:lang w:val="hr-HR"/>
    </w:rPr>
  </w:style>
  <w:style w:type="character" w:customStyle="1" w:styleId="BodyTextIndentChar">
    <w:name w:val="Body Text Indent Char"/>
    <w:basedOn w:val="DefaultParagraphFont"/>
    <w:link w:val="BodyTextIndent"/>
    <w:uiPriority w:val="99"/>
    <w:semiHidden/>
    <w:rsid w:val="003D2346"/>
    <w:rPr>
      <w:lang w:val="hr-HR"/>
    </w:rPr>
  </w:style>
  <w:style w:type="paragraph" w:styleId="BodyTextIndent3">
    <w:name w:val="Body Text Indent 3"/>
    <w:basedOn w:val="Normal"/>
    <w:link w:val="BodyTextIndent3Char"/>
    <w:uiPriority w:val="99"/>
    <w:semiHidden/>
    <w:unhideWhenUsed/>
    <w:rsid w:val="003D2346"/>
    <w:pPr>
      <w:spacing w:after="120" w:line="259" w:lineRule="auto"/>
      <w:ind w:left="283"/>
    </w:pPr>
    <w:rPr>
      <w:sz w:val="16"/>
      <w:szCs w:val="16"/>
      <w:lang w:val="hr-HR"/>
    </w:rPr>
  </w:style>
  <w:style w:type="character" w:customStyle="1" w:styleId="BodyTextIndent3Char">
    <w:name w:val="Body Text Indent 3 Char"/>
    <w:basedOn w:val="DefaultParagraphFont"/>
    <w:link w:val="BodyTextIndent3"/>
    <w:uiPriority w:val="99"/>
    <w:semiHidden/>
    <w:rsid w:val="003D2346"/>
    <w:rPr>
      <w:sz w:val="16"/>
      <w:szCs w:val="16"/>
      <w:lang w:val="hr-HR"/>
    </w:rPr>
  </w:style>
  <w:style w:type="paragraph" w:customStyle="1" w:styleId="EmptyCellLayoutStyle">
    <w:name w:val="EmptyCellLayoutStyle"/>
    <w:rsid w:val="003D2346"/>
    <w:pPr>
      <w:spacing w:after="160" w:line="259" w:lineRule="auto"/>
    </w:pPr>
    <w:rPr>
      <w:rFonts w:ascii="Times New Roman" w:eastAsia="Times New Roman" w:hAnsi="Times New Roman" w:cs="Times New Roman"/>
      <w:sz w:val="2"/>
      <w:szCs w:val="20"/>
      <w:lang w:val="hr-HR" w:eastAsia="hr-HR"/>
    </w:rPr>
  </w:style>
  <w:style w:type="numbering" w:customStyle="1" w:styleId="Bezpopisa11">
    <w:name w:val="Bez popisa11"/>
    <w:next w:val="NoList"/>
    <w:uiPriority w:val="99"/>
    <w:semiHidden/>
    <w:unhideWhenUsed/>
    <w:rsid w:val="003D2346"/>
  </w:style>
  <w:style w:type="numbering" w:customStyle="1" w:styleId="Bezpopisa2">
    <w:name w:val="Bez popisa2"/>
    <w:next w:val="NoList"/>
    <w:uiPriority w:val="99"/>
    <w:semiHidden/>
    <w:unhideWhenUsed/>
    <w:rsid w:val="003D2346"/>
  </w:style>
  <w:style w:type="paragraph" w:customStyle="1" w:styleId="xl118">
    <w:name w:val="xl118"/>
    <w:basedOn w:val="Normal"/>
    <w:rsid w:val="003D2346"/>
    <w:pPr>
      <w:shd w:val="clear" w:color="000000" w:fill="000080"/>
      <w:spacing w:before="100" w:beforeAutospacing="1" w:after="100" w:afterAutospacing="1" w:line="240" w:lineRule="auto"/>
    </w:pPr>
    <w:rPr>
      <w:rFonts w:ascii="Arial" w:eastAsia="Times New Roman" w:hAnsi="Arial" w:cs="Arial"/>
      <w:b/>
      <w:bCs/>
      <w:color w:val="FFFFFF"/>
      <w:sz w:val="24"/>
      <w:szCs w:val="24"/>
      <w:lang w:val="hr-HR" w:eastAsia="hr-HR"/>
    </w:rPr>
  </w:style>
  <w:style w:type="paragraph" w:customStyle="1" w:styleId="xl119">
    <w:name w:val="xl119"/>
    <w:basedOn w:val="Normal"/>
    <w:rsid w:val="003D2346"/>
    <w:pPr>
      <w:shd w:val="clear" w:color="000000" w:fill="000080"/>
      <w:spacing w:before="100" w:beforeAutospacing="1" w:after="100" w:afterAutospacing="1" w:line="240" w:lineRule="auto"/>
    </w:pPr>
    <w:rPr>
      <w:rFonts w:ascii="Arial" w:eastAsia="Times New Roman" w:hAnsi="Arial" w:cs="Arial"/>
      <w:b/>
      <w:bCs/>
      <w:color w:val="FFFFFF"/>
      <w:sz w:val="24"/>
      <w:szCs w:val="24"/>
      <w:lang w:val="hr-HR" w:eastAsia="hr-HR"/>
    </w:rPr>
  </w:style>
  <w:style w:type="paragraph" w:customStyle="1" w:styleId="xl120">
    <w:name w:val="xl120"/>
    <w:basedOn w:val="Normal"/>
    <w:rsid w:val="003D2346"/>
    <w:pPr>
      <w:shd w:val="clear" w:color="000000" w:fill="0000FF"/>
      <w:spacing w:before="100" w:beforeAutospacing="1" w:after="100" w:afterAutospacing="1" w:line="240" w:lineRule="auto"/>
    </w:pPr>
    <w:rPr>
      <w:rFonts w:ascii="Arial" w:eastAsia="Times New Roman" w:hAnsi="Arial" w:cs="Arial"/>
      <w:b/>
      <w:bCs/>
      <w:color w:val="FFFFFF"/>
      <w:sz w:val="24"/>
      <w:szCs w:val="24"/>
      <w:lang w:val="hr-HR" w:eastAsia="hr-HR"/>
    </w:rPr>
  </w:style>
  <w:style w:type="paragraph" w:customStyle="1" w:styleId="xl121">
    <w:name w:val="xl121"/>
    <w:basedOn w:val="Normal"/>
    <w:rsid w:val="003D2346"/>
    <w:pPr>
      <w:shd w:val="clear" w:color="000000" w:fill="666699"/>
      <w:spacing w:before="100" w:beforeAutospacing="1" w:after="100" w:afterAutospacing="1" w:line="240" w:lineRule="auto"/>
    </w:pPr>
    <w:rPr>
      <w:rFonts w:ascii="Arial" w:eastAsia="Times New Roman" w:hAnsi="Arial" w:cs="Arial"/>
      <w:b/>
      <w:bCs/>
      <w:color w:val="FFFFFF"/>
      <w:sz w:val="24"/>
      <w:szCs w:val="24"/>
      <w:lang w:val="hr-HR" w:eastAsia="hr-HR"/>
    </w:rPr>
  </w:style>
  <w:style w:type="paragraph" w:customStyle="1" w:styleId="xl122">
    <w:name w:val="xl122"/>
    <w:basedOn w:val="Normal"/>
    <w:rsid w:val="003D2346"/>
    <w:pPr>
      <w:shd w:val="clear" w:color="000000" w:fill="9999FF"/>
      <w:spacing w:before="100" w:beforeAutospacing="1" w:after="100" w:afterAutospacing="1" w:line="240" w:lineRule="auto"/>
    </w:pPr>
    <w:rPr>
      <w:rFonts w:ascii="Arial" w:eastAsia="Times New Roman" w:hAnsi="Arial" w:cs="Arial"/>
      <w:b/>
      <w:bCs/>
      <w:color w:val="000000"/>
      <w:sz w:val="24"/>
      <w:szCs w:val="24"/>
      <w:lang w:val="hr-HR" w:eastAsia="hr-HR"/>
    </w:rPr>
  </w:style>
  <w:style w:type="paragraph" w:customStyle="1" w:styleId="xl123">
    <w:name w:val="xl123"/>
    <w:basedOn w:val="Normal"/>
    <w:rsid w:val="003D2346"/>
    <w:pPr>
      <w:shd w:val="clear" w:color="000000" w:fill="CCCCFF"/>
      <w:spacing w:before="100" w:beforeAutospacing="1" w:after="100" w:afterAutospacing="1" w:line="240" w:lineRule="auto"/>
    </w:pPr>
    <w:rPr>
      <w:rFonts w:ascii="Arial" w:eastAsia="Times New Roman" w:hAnsi="Arial" w:cs="Arial"/>
      <w:b/>
      <w:bCs/>
      <w:color w:val="000000"/>
      <w:sz w:val="24"/>
      <w:szCs w:val="24"/>
      <w:lang w:val="hr-HR" w:eastAsia="hr-HR"/>
    </w:rPr>
  </w:style>
  <w:style w:type="paragraph" w:customStyle="1" w:styleId="xl124">
    <w:name w:val="xl124"/>
    <w:basedOn w:val="Normal"/>
    <w:rsid w:val="003D2346"/>
    <w:pPr>
      <w:shd w:val="clear" w:color="000000" w:fill="FFFF00"/>
      <w:spacing w:before="100" w:beforeAutospacing="1" w:after="100" w:afterAutospacing="1" w:line="240" w:lineRule="auto"/>
    </w:pPr>
    <w:rPr>
      <w:rFonts w:ascii="Arial" w:eastAsia="Times New Roman" w:hAnsi="Arial" w:cs="Arial"/>
      <w:b/>
      <w:bCs/>
      <w:color w:val="000000"/>
      <w:sz w:val="24"/>
      <w:szCs w:val="24"/>
      <w:lang w:val="hr-HR" w:eastAsia="hr-HR"/>
    </w:rPr>
  </w:style>
  <w:style w:type="paragraph" w:customStyle="1" w:styleId="xl125">
    <w:name w:val="xl125"/>
    <w:basedOn w:val="Normal"/>
    <w:rsid w:val="003D2346"/>
    <w:pPr>
      <w:shd w:val="clear" w:color="000000" w:fill="00CCFF"/>
      <w:spacing w:before="100" w:beforeAutospacing="1" w:after="100" w:afterAutospacing="1" w:line="240" w:lineRule="auto"/>
    </w:pPr>
    <w:rPr>
      <w:rFonts w:ascii="Arial" w:eastAsia="Times New Roman" w:hAnsi="Arial" w:cs="Arial"/>
      <w:b/>
      <w:bCs/>
      <w:color w:val="000000"/>
      <w:sz w:val="24"/>
      <w:szCs w:val="24"/>
      <w:lang w:val="hr-HR" w:eastAsia="hr-HR"/>
    </w:rPr>
  </w:style>
  <w:style w:type="paragraph" w:customStyle="1" w:styleId="xl126">
    <w:name w:val="xl126"/>
    <w:basedOn w:val="Normal"/>
    <w:rsid w:val="003D2346"/>
    <w:pPr>
      <w:shd w:val="clear" w:color="000000" w:fill="00FFFF"/>
      <w:spacing w:before="100" w:beforeAutospacing="1" w:after="100" w:afterAutospacing="1" w:line="240" w:lineRule="auto"/>
    </w:pPr>
    <w:rPr>
      <w:rFonts w:ascii="Arial" w:eastAsia="Times New Roman" w:hAnsi="Arial" w:cs="Arial"/>
      <w:b/>
      <w:bCs/>
      <w:color w:val="000000"/>
      <w:sz w:val="24"/>
      <w:szCs w:val="24"/>
      <w:lang w:val="hr-HR" w:eastAsia="hr-HR"/>
    </w:rPr>
  </w:style>
  <w:style w:type="paragraph" w:customStyle="1" w:styleId="xl127">
    <w:name w:val="xl127"/>
    <w:basedOn w:val="Normal"/>
    <w:rsid w:val="003D2346"/>
    <w:pPr>
      <w:shd w:val="clear" w:color="000000" w:fill="CCFFFF"/>
      <w:spacing w:before="100" w:beforeAutospacing="1" w:after="100" w:afterAutospacing="1" w:line="240" w:lineRule="auto"/>
    </w:pPr>
    <w:rPr>
      <w:rFonts w:ascii="Arial" w:eastAsia="Times New Roman" w:hAnsi="Arial" w:cs="Arial"/>
      <w:b/>
      <w:bCs/>
      <w:color w:val="000000"/>
      <w:sz w:val="24"/>
      <w:szCs w:val="24"/>
      <w:lang w:val="hr-HR" w:eastAsia="hr-HR"/>
    </w:rPr>
  </w:style>
  <w:style w:type="paragraph" w:customStyle="1" w:styleId="xl128">
    <w:name w:val="xl128"/>
    <w:basedOn w:val="Normal"/>
    <w:rsid w:val="003D2346"/>
    <w:pPr>
      <w:spacing w:before="100" w:beforeAutospacing="1" w:after="100" w:afterAutospacing="1" w:line="240" w:lineRule="auto"/>
    </w:pPr>
    <w:rPr>
      <w:rFonts w:ascii="Arial" w:eastAsia="Times New Roman" w:hAnsi="Arial" w:cs="Arial"/>
      <w:sz w:val="24"/>
      <w:szCs w:val="24"/>
      <w:lang w:val="hr-HR" w:eastAsia="hr-HR"/>
    </w:rPr>
  </w:style>
  <w:style w:type="paragraph" w:customStyle="1" w:styleId="xl129">
    <w:name w:val="xl129"/>
    <w:basedOn w:val="Normal"/>
    <w:rsid w:val="003D2346"/>
    <w:pPr>
      <w:shd w:val="clear" w:color="000000" w:fill="3366FF"/>
      <w:spacing w:before="100" w:beforeAutospacing="1" w:after="100" w:afterAutospacing="1" w:line="240" w:lineRule="auto"/>
    </w:pPr>
    <w:rPr>
      <w:rFonts w:ascii="Arial" w:eastAsia="Times New Roman" w:hAnsi="Arial" w:cs="Arial"/>
      <w:b/>
      <w:bCs/>
      <w:color w:val="FFFFFF"/>
      <w:sz w:val="24"/>
      <w:szCs w:val="24"/>
      <w:lang w:val="hr-HR" w:eastAsia="hr-HR"/>
    </w:rPr>
  </w:style>
  <w:style w:type="character" w:styleId="PageNumber">
    <w:name w:val="page number"/>
    <w:basedOn w:val="DefaultParagraphFont"/>
    <w:rsid w:val="003D2346"/>
  </w:style>
  <w:style w:type="table" w:styleId="TableGrid">
    <w:name w:val="Table Grid"/>
    <w:basedOn w:val="TableNormal"/>
    <w:uiPriority w:val="59"/>
    <w:rsid w:val="003D23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D2346"/>
    <w:rPr>
      <w:sz w:val="16"/>
      <w:szCs w:val="16"/>
    </w:rPr>
  </w:style>
  <w:style w:type="paragraph" w:styleId="CommentText">
    <w:name w:val="annotation text"/>
    <w:basedOn w:val="Normal"/>
    <w:link w:val="CommentTextChar"/>
    <w:uiPriority w:val="99"/>
    <w:rsid w:val="003D2346"/>
    <w:pPr>
      <w:spacing w:after="0" w:line="240" w:lineRule="auto"/>
    </w:pPr>
    <w:rPr>
      <w:rFonts w:ascii="HR Times" w:eastAsia="Times New Roman" w:hAnsi="HR Times" w:cs="Times New Roman"/>
      <w:sz w:val="20"/>
      <w:szCs w:val="20"/>
      <w:lang w:val="hr-HR"/>
    </w:rPr>
  </w:style>
  <w:style w:type="character" w:customStyle="1" w:styleId="CommentTextChar">
    <w:name w:val="Comment Text Char"/>
    <w:basedOn w:val="DefaultParagraphFont"/>
    <w:link w:val="CommentText"/>
    <w:uiPriority w:val="99"/>
    <w:rsid w:val="003D2346"/>
    <w:rPr>
      <w:rFonts w:ascii="HR Times" w:eastAsia="Times New Roman" w:hAnsi="HR Times"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3D2346"/>
    <w:rPr>
      <w:b/>
      <w:bCs/>
    </w:rPr>
  </w:style>
  <w:style w:type="character" w:customStyle="1" w:styleId="CommentSubjectChar">
    <w:name w:val="Comment Subject Char"/>
    <w:basedOn w:val="CommentTextChar"/>
    <w:link w:val="CommentSubject"/>
    <w:uiPriority w:val="99"/>
    <w:semiHidden/>
    <w:rsid w:val="003D2346"/>
    <w:rPr>
      <w:rFonts w:ascii="HR Times" w:eastAsia="Times New Roman" w:hAnsi="HR Times" w:cs="Times New Roman"/>
      <w:b/>
      <w:bCs/>
      <w:sz w:val="20"/>
      <w:szCs w:val="20"/>
      <w:lang w:val="hr-HR"/>
    </w:rPr>
  </w:style>
  <w:style w:type="paragraph" w:styleId="Title">
    <w:name w:val="Title"/>
    <w:basedOn w:val="Normal"/>
    <w:link w:val="TitleChar"/>
    <w:uiPriority w:val="1"/>
    <w:qFormat/>
    <w:rsid w:val="003D2346"/>
    <w:pPr>
      <w:widowControl w:val="0"/>
      <w:autoSpaceDE w:val="0"/>
      <w:autoSpaceDN w:val="0"/>
      <w:spacing w:before="75" w:after="0" w:line="240" w:lineRule="auto"/>
      <w:ind w:left="1406" w:right="229" w:firstLine="381"/>
    </w:pPr>
    <w:rPr>
      <w:rFonts w:ascii="Times New Roman" w:eastAsia="Times New Roman" w:hAnsi="Times New Roman" w:cs="Times New Roman"/>
      <w:b/>
      <w:bCs/>
      <w:sz w:val="28"/>
      <w:szCs w:val="28"/>
      <w:lang w:val="hr-HR"/>
    </w:rPr>
  </w:style>
  <w:style w:type="character" w:customStyle="1" w:styleId="TitleChar">
    <w:name w:val="Title Char"/>
    <w:basedOn w:val="DefaultParagraphFont"/>
    <w:link w:val="Title"/>
    <w:uiPriority w:val="1"/>
    <w:rsid w:val="003D2346"/>
    <w:rPr>
      <w:rFonts w:ascii="Times New Roman" w:eastAsia="Times New Roman" w:hAnsi="Times New Roman" w:cs="Times New Roman"/>
      <w:b/>
      <w:bCs/>
      <w:sz w:val="28"/>
      <w:szCs w:val="28"/>
      <w:lang w:val="hr-HR"/>
    </w:rPr>
  </w:style>
  <w:style w:type="paragraph" w:customStyle="1" w:styleId="TableParagraph">
    <w:name w:val="Table Paragraph"/>
    <w:basedOn w:val="Normal"/>
    <w:uiPriority w:val="1"/>
    <w:qFormat/>
    <w:rsid w:val="003D2346"/>
    <w:pPr>
      <w:widowControl w:val="0"/>
      <w:autoSpaceDE w:val="0"/>
      <w:autoSpaceDN w:val="0"/>
      <w:spacing w:after="0" w:line="268" w:lineRule="exact"/>
    </w:pPr>
    <w:rPr>
      <w:rFonts w:ascii="Times New Roman" w:eastAsia="Times New Roman" w:hAnsi="Times New Roman" w:cs="Times New Roman"/>
      <w:lang w:val="hr-HR"/>
    </w:rPr>
  </w:style>
  <w:style w:type="table" w:customStyle="1" w:styleId="TableNormal1">
    <w:name w:val="Table Normal1"/>
    <w:uiPriority w:val="2"/>
    <w:semiHidden/>
    <w:qFormat/>
    <w:rsid w:val="003D2346"/>
    <w:pPr>
      <w:widowControl w:val="0"/>
      <w:autoSpaceDE w:val="0"/>
      <w:autoSpaceDN w:val="0"/>
      <w:spacing w:after="0" w:line="240" w:lineRule="auto"/>
    </w:pPr>
    <w:tblPr>
      <w:tblCellMar>
        <w:top w:w="0" w:type="dxa"/>
        <w:left w:w="0" w:type="dxa"/>
        <w:bottom w:w="0" w:type="dxa"/>
        <w:right w:w="0" w:type="dxa"/>
      </w:tblCellMar>
    </w:tblPr>
  </w:style>
  <w:style w:type="character" w:styleId="Emphasis">
    <w:name w:val="Emphasis"/>
    <w:basedOn w:val="DefaultParagraphFont"/>
    <w:qFormat/>
    <w:rsid w:val="003D2346"/>
    <w:rPr>
      <w:i/>
      <w:iCs/>
    </w:rPr>
  </w:style>
  <w:style w:type="paragraph" w:styleId="BodyText2">
    <w:name w:val="Body Text 2"/>
    <w:basedOn w:val="Normal"/>
    <w:link w:val="BodyText2Char"/>
    <w:rsid w:val="003D2346"/>
    <w:pPr>
      <w:spacing w:after="120" w:line="480" w:lineRule="auto"/>
    </w:pPr>
    <w:rPr>
      <w:rFonts w:ascii="HR Times" w:eastAsia="Times New Roman" w:hAnsi="HR Times" w:cs="Times New Roman"/>
      <w:sz w:val="20"/>
      <w:szCs w:val="20"/>
      <w:lang w:val="hr-HR"/>
    </w:rPr>
  </w:style>
  <w:style w:type="character" w:customStyle="1" w:styleId="BodyText2Char">
    <w:name w:val="Body Text 2 Char"/>
    <w:basedOn w:val="DefaultParagraphFont"/>
    <w:link w:val="BodyText2"/>
    <w:rsid w:val="003D2346"/>
    <w:rPr>
      <w:rFonts w:ascii="HR Times" w:eastAsia="Times New Roman" w:hAnsi="HR Times" w:cs="Times New Roman"/>
      <w:sz w:val="20"/>
      <w:szCs w:val="20"/>
      <w:lang w:val="hr-HR"/>
    </w:rPr>
  </w:style>
  <w:style w:type="numbering" w:customStyle="1" w:styleId="Bezpopisa3">
    <w:name w:val="Bez popisa3"/>
    <w:next w:val="NoList"/>
    <w:uiPriority w:val="99"/>
    <w:semiHidden/>
    <w:unhideWhenUsed/>
    <w:rsid w:val="003D2346"/>
  </w:style>
  <w:style w:type="numbering" w:customStyle="1" w:styleId="Bezpopisa4">
    <w:name w:val="Bez popisa4"/>
    <w:next w:val="NoList"/>
    <w:uiPriority w:val="99"/>
    <w:semiHidden/>
    <w:unhideWhenUsed/>
    <w:rsid w:val="003D2346"/>
  </w:style>
  <w:style w:type="character" w:customStyle="1" w:styleId="NoSpacingChar">
    <w:name w:val="No Spacing Char"/>
    <w:link w:val="NoSpacing"/>
    <w:uiPriority w:val="1"/>
    <w:rsid w:val="003D2346"/>
    <w:rPr>
      <w:rFonts w:ascii="Calibri" w:eastAsia="Calibri" w:hAnsi="Calibri" w:cs="Times New Roman"/>
      <w:lang w:val="hr-HR"/>
    </w:rPr>
  </w:style>
  <w:style w:type="character" w:customStyle="1" w:styleId="Naslov1Char1">
    <w:name w:val="Naslov 1 Char1"/>
    <w:basedOn w:val="DefaultParagraphFont"/>
    <w:uiPriority w:val="9"/>
    <w:rsid w:val="003D2346"/>
    <w:rPr>
      <w:rFonts w:asciiTheme="majorHAnsi" w:eastAsiaTheme="majorEastAsia" w:hAnsiTheme="majorHAnsi" w:cstheme="majorBidi"/>
      <w:b/>
      <w:bCs/>
      <w:color w:val="365F91" w:themeColor="accent1" w:themeShade="BF"/>
      <w:sz w:val="28"/>
      <w:szCs w:val="28"/>
    </w:rPr>
  </w:style>
  <w:style w:type="character" w:customStyle="1" w:styleId="Naslov3Char1">
    <w:name w:val="Naslov 3 Char1"/>
    <w:basedOn w:val="DefaultParagraphFont"/>
    <w:uiPriority w:val="9"/>
    <w:semiHidden/>
    <w:rsid w:val="003D2346"/>
    <w:rPr>
      <w:rFonts w:asciiTheme="majorHAnsi" w:eastAsiaTheme="majorEastAsia" w:hAnsiTheme="majorHAnsi" w:cstheme="majorBidi"/>
      <w:b/>
      <w:bCs/>
      <w:color w:val="4F81BD" w:themeColor="accent1"/>
    </w:rPr>
  </w:style>
  <w:style w:type="character" w:customStyle="1" w:styleId="Naslov4Char1">
    <w:name w:val="Naslov 4 Char1"/>
    <w:basedOn w:val="DefaultParagraphFont"/>
    <w:uiPriority w:val="9"/>
    <w:semiHidden/>
    <w:rsid w:val="003D2346"/>
    <w:rPr>
      <w:rFonts w:asciiTheme="majorHAnsi" w:eastAsiaTheme="majorEastAsia" w:hAnsiTheme="majorHAnsi" w:cstheme="majorBidi"/>
      <w:b/>
      <w:bCs/>
      <w:i/>
      <w:iCs/>
      <w:color w:val="4F81BD" w:themeColor="accent1"/>
    </w:rPr>
  </w:style>
  <w:style w:type="character" w:customStyle="1" w:styleId="Naslov9Char1">
    <w:name w:val="Naslov 9 Char1"/>
    <w:basedOn w:val="DefaultParagraphFont"/>
    <w:uiPriority w:val="9"/>
    <w:semiHidden/>
    <w:rsid w:val="003D234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26757</Words>
  <Characters>152519</Characters>
  <Application>Microsoft Office Word</Application>
  <DocSecurity>0</DocSecurity>
  <Lines>1270</Lines>
  <Paragraphs>357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Milena</cp:lastModifiedBy>
  <cp:revision>2</cp:revision>
  <dcterms:created xsi:type="dcterms:W3CDTF">2023-06-13T12:21:00Z</dcterms:created>
  <dcterms:modified xsi:type="dcterms:W3CDTF">2023-06-13T12:21:00Z</dcterms:modified>
</cp:coreProperties>
</file>