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1B28" w14:textId="77777777" w:rsidR="00AC2DDA" w:rsidRDefault="00AC2DDA">
      <w:pPr>
        <w:jc w:val="center"/>
        <w:rPr>
          <w:rFonts w:ascii="Arial" w:hAnsi="Arial" w:cs="Arial"/>
          <w:b/>
        </w:rPr>
      </w:pPr>
    </w:p>
    <w:p w14:paraId="238AA175" w14:textId="0C05223C" w:rsidR="00D2566E" w:rsidRDefault="00173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B R A Z L O Ž E N J E</w:t>
      </w:r>
    </w:p>
    <w:p w14:paraId="1860DC46" w14:textId="35AF93E3" w:rsidR="00D2566E" w:rsidRDefault="001732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64588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IZMJEN</w:t>
      </w:r>
      <w:r w:rsidR="0009150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I DOPUN</w:t>
      </w:r>
      <w:r w:rsidR="0009150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PRORAČUNA OPĆINE SEGET ZA 202</w:t>
      </w:r>
      <w:r w:rsidR="0009150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GODINU </w:t>
      </w:r>
    </w:p>
    <w:p w14:paraId="10C70602" w14:textId="77777777" w:rsidR="00BD259F" w:rsidRDefault="00BD259F">
      <w:pPr>
        <w:jc w:val="center"/>
        <w:rPr>
          <w:rFonts w:ascii="Arial" w:hAnsi="Arial" w:cs="Arial"/>
          <w:b/>
        </w:rPr>
      </w:pPr>
    </w:p>
    <w:p w14:paraId="71853DD0" w14:textId="76D37FE9" w:rsidR="00BD259F" w:rsidRDefault="00173220" w:rsidP="00AC2D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UVOD</w:t>
      </w:r>
    </w:p>
    <w:p w14:paraId="1796B75D" w14:textId="77777777" w:rsidR="00AC2DDA" w:rsidRDefault="00AC2DDA" w:rsidP="00AC2DDA">
      <w:pPr>
        <w:jc w:val="center"/>
        <w:rPr>
          <w:rFonts w:ascii="Arial" w:hAnsi="Arial" w:cs="Arial"/>
          <w:b/>
        </w:rPr>
      </w:pPr>
    </w:p>
    <w:p w14:paraId="3028EB74" w14:textId="2BC93951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odredbi članka 45. </w:t>
      </w:r>
      <w:r w:rsidR="2B2A50FA" w:rsidRPr="2B2A50FA">
        <w:rPr>
          <w:rFonts w:ascii="Arial" w:hAnsi="Arial" w:cs="Arial"/>
        </w:rPr>
        <w:t>Zakona o</w:t>
      </w:r>
      <w:r>
        <w:rPr>
          <w:rFonts w:ascii="Arial" w:hAnsi="Arial" w:cs="Arial"/>
        </w:rPr>
        <w:t xml:space="preserve"> proračunu </w:t>
      </w:r>
      <w:bookmarkStart w:id="0" w:name="_Hlk130325362"/>
      <w:r>
        <w:rPr>
          <w:rFonts w:ascii="Arial" w:hAnsi="Arial" w:cs="Arial"/>
        </w:rPr>
        <w:t>(„Narodne novine“ broj 144/21</w:t>
      </w:r>
      <w:bookmarkEnd w:id="0"/>
      <w:r>
        <w:rPr>
          <w:rFonts w:ascii="Arial" w:hAnsi="Arial" w:cs="Arial"/>
        </w:rPr>
        <w:t xml:space="preserve">) predstavničko tijelo Općine Seget donosi </w:t>
      </w:r>
      <w:r w:rsidRPr="00C1200E">
        <w:rPr>
          <w:rFonts w:ascii="Arial" w:hAnsi="Arial" w:cs="Arial"/>
          <w:b/>
          <w:bCs/>
        </w:rPr>
        <w:t>I</w:t>
      </w:r>
      <w:r w:rsidR="00645881">
        <w:rPr>
          <w:rFonts w:ascii="Arial" w:hAnsi="Arial" w:cs="Arial"/>
          <w:b/>
          <w:bCs/>
        </w:rPr>
        <w:t>I</w:t>
      </w:r>
      <w:r w:rsidR="00C1200E">
        <w:rPr>
          <w:rFonts w:ascii="Arial" w:hAnsi="Arial" w:cs="Arial"/>
          <w:b/>
          <w:bCs/>
        </w:rPr>
        <w:t>.</w:t>
      </w:r>
      <w:r w:rsidRPr="00C1200E">
        <w:rPr>
          <w:rFonts w:ascii="Arial" w:hAnsi="Arial" w:cs="Arial"/>
          <w:b/>
          <w:bCs/>
        </w:rPr>
        <w:t xml:space="preserve"> izmjene i dopune</w:t>
      </w:r>
      <w:r>
        <w:rPr>
          <w:rFonts w:ascii="Arial" w:hAnsi="Arial" w:cs="Arial"/>
        </w:rPr>
        <w:t xml:space="preserve"> proračuna za 202</w:t>
      </w:r>
      <w:r w:rsidR="0009150E">
        <w:rPr>
          <w:rFonts w:ascii="Arial" w:hAnsi="Arial" w:cs="Arial"/>
        </w:rPr>
        <w:t>5</w:t>
      </w:r>
      <w:r>
        <w:rPr>
          <w:rFonts w:ascii="Arial" w:hAnsi="Arial" w:cs="Arial"/>
        </w:rPr>
        <w:t>. godinu na drugoj razini računskog plana odnosno na drugoj razini skupine ekonomske klasifikacije.</w:t>
      </w:r>
    </w:p>
    <w:p w14:paraId="2CDD8002" w14:textId="5BA50E7C" w:rsidR="00D2566E" w:rsidRPr="006C3E19" w:rsidRDefault="006458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173220" w:rsidRPr="00291B98">
        <w:rPr>
          <w:rFonts w:ascii="Arial" w:hAnsi="Arial" w:cs="Arial"/>
          <w:b/>
          <w:bCs/>
        </w:rPr>
        <w:t>I</w:t>
      </w:r>
      <w:r w:rsidR="00C1200E" w:rsidRPr="00291B98">
        <w:rPr>
          <w:rFonts w:ascii="Arial" w:hAnsi="Arial" w:cs="Arial"/>
          <w:b/>
          <w:bCs/>
        </w:rPr>
        <w:t>.</w:t>
      </w:r>
      <w:r w:rsidR="00173220" w:rsidRPr="00291B98">
        <w:rPr>
          <w:rFonts w:ascii="Arial" w:hAnsi="Arial" w:cs="Arial"/>
          <w:b/>
          <w:bCs/>
        </w:rPr>
        <w:t xml:space="preserve"> Izmjenama i dopunama</w:t>
      </w:r>
      <w:r w:rsidR="00173220" w:rsidRPr="006C3E19">
        <w:rPr>
          <w:rFonts w:ascii="Arial" w:hAnsi="Arial" w:cs="Arial"/>
        </w:rPr>
        <w:t xml:space="preserve"> proračuna Općine Seget za 202</w:t>
      </w:r>
      <w:r w:rsidR="0009150E">
        <w:rPr>
          <w:rFonts w:ascii="Arial" w:hAnsi="Arial" w:cs="Arial"/>
        </w:rPr>
        <w:t>5</w:t>
      </w:r>
      <w:r w:rsidR="00173220" w:rsidRPr="006C3E19">
        <w:rPr>
          <w:rFonts w:ascii="Arial" w:hAnsi="Arial" w:cs="Arial"/>
        </w:rPr>
        <w:t>. godinu  planirani</w:t>
      </w:r>
      <w:r w:rsidR="008E2F47" w:rsidRPr="006C3E19">
        <w:rPr>
          <w:rFonts w:ascii="Arial" w:hAnsi="Arial" w:cs="Arial"/>
        </w:rPr>
        <w:t xml:space="preserve"> </w:t>
      </w:r>
      <w:r w:rsidR="006C5784">
        <w:rPr>
          <w:rFonts w:ascii="Arial" w:hAnsi="Arial" w:cs="Arial"/>
        </w:rPr>
        <w:t xml:space="preserve">su </w:t>
      </w:r>
      <w:r w:rsidR="008E2F47" w:rsidRPr="006C3E19">
        <w:rPr>
          <w:rFonts w:ascii="Arial" w:hAnsi="Arial" w:cs="Arial"/>
        </w:rPr>
        <w:t>prihod</w:t>
      </w:r>
      <w:r w:rsidR="006C3E19">
        <w:rPr>
          <w:rFonts w:ascii="Arial" w:hAnsi="Arial" w:cs="Arial"/>
        </w:rPr>
        <w:t xml:space="preserve">i i primici </w:t>
      </w:r>
      <w:r w:rsidR="00BD259F">
        <w:rPr>
          <w:rFonts w:ascii="Arial" w:hAnsi="Arial" w:cs="Arial"/>
        </w:rPr>
        <w:t xml:space="preserve">kao i rashodi i izdaci u </w:t>
      </w:r>
      <w:r w:rsidR="00BD259F" w:rsidRPr="006A3C00">
        <w:rPr>
          <w:rFonts w:ascii="Arial" w:hAnsi="Arial" w:cs="Arial"/>
        </w:rPr>
        <w:t xml:space="preserve">iznosu od </w:t>
      </w:r>
      <w:r w:rsidR="00CB248B" w:rsidRPr="00CB248B">
        <w:rPr>
          <w:rFonts w:ascii="Arial" w:hAnsi="Arial" w:cs="Arial"/>
        </w:rPr>
        <w:t xml:space="preserve">11.341.197,23 </w:t>
      </w:r>
      <w:r w:rsidR="00173220" w:rsidRPr="006A3C00">
        <w:rPr>
          <w:rFonts w:ascii="Arial" w:hAnsi="Arial" w:cs="Arial"/>
        </w:rPr>
        <w:t>EUR</w:t>
      </w:r>
      <w:r w:rsidR="00BD259F" w:rsidRPr="006A3C00">
        <w:rPr>
          <w:rFonts w:ascii="Arial" w:hAnsi="Arial" w:cs="Arial"/>
        </w:rPr>
        <w:t xml:space="preserve"> </w:t>
      </w:r>
      <w:r w:rsidR="007B3CF9" w:rsidRPr="006A3C00">
        <w:rPr>
          <w:rFonts w:ascii="Arial" w:hAnsi="Arial" w:cs="Arial"/>
        </w:rPr>
        <w:t xml:space="preserve">te su </w:t>
      </w:r>
      <w:r w:rsidR="001675EC" w:rsidRPr="006A3C00">
        <w:rPr>
          <w:rFonts w:ascii="Arial" w:hAnsi="Arial" w:cs="Arial"/>
        </w:rPr>
        <w:t xml:space="preserve">za </w:t>
      </w:r>
      <w:r w:rsidR="00CB248B" w:rsidRPr="00CB248B">
        <w:rPr>
          <w:rFonts w:ascii="Arial" w:hAnsi="Arial" w:cs="Arial"/>
        </w:rPr>
        <w:t xml:space="preserve">176.871,00 </w:t>
      </w:r>
      <w:r w:rsidR="00CB248B">
        <w:rPr>
          <w:rFonts w:ascii="Arial" w:hAnsi="Arial" w:cs="Arial"/>
        </w:rPr>
        <w:t>EUR veći</w:t>
      </w:r>
      <w:r w:rsidR="001675EC" w:rsidRPr="006A3C00">
        <w:rPr>
          <w:rFonts w:ascii="Arial" w:hAnsi="Arial" w:cs="Arial"/>
        </w:rPr>
        <w:t xml:space="preserve"> </w:t>
      </w:r>
      <w:r w:rsidR="00BD259F" w:rsidRPr="006A3C00">
        <w:rPr>
          <w:rFonts w:ascii="Arial" w:hAnsi="Arial" w:cs="Arial"/>
        </w:rPr>
        <w:t xml:space="preserve">u odnosu na </w:t>
      </w:r>
      <w:r w:rsidR="0009150E" w:rsidRPr="006A3C00">
        <w:rPr>
          <w:rFonts w:ascii="Arial" w:hAnsi="Arial" w:cs="Arial"/>
        </w:rPr>
        <w:t xml:space="preserve">plan </w:t>
      </w:r>
      <w:r w:rsidR="00BD259F" w:rsidRPr="006A3C00">
        <w:rPr>
          <w:rFonts w:ascii="Arial" w:hAnsi="Arial" w:cs="Arial"/>
        </w:rPr>
        <w:t>proračuna za 202</w:t>
      </w:r>
      <w:r w:rsidR="0009150E" w:rsidRPr="006A3C00">
        <w:rPr>
          <w:rFonts w:ascii="Arial" w:hAnsi="Arial" w:cs="Arial"/>
        </w:rPr>
        <w:t>5</w:t>
      </w:r>
      <w:r w:rsidR="00BD259F" w:rsidRPr="006A3C00">
        <w:rPr>
          <w:rFonts w:ascii="Arial" w:hAnsi="Arial" w:cs="Arial"/>
        </w:rPr>
        <w:t xml:space="preserve"> godinu.</w:t>
      </w:r>
      <w:r w:rsidR="00BD259F">
        <w:rPr>
          <w:rFonts w:ascii="Arial" w:hAnsi="Arial" w:cs="Arial"/>
        </w:rPr>
        <w:t xml:space="preserve"> </w:t>
      </w:r>
    </w:p>
    <w:p w14:paraId="35259182" w14:textId="77777777" w:rsidR="00D2566E" w:rsidRDefault="001732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4BF5C6" w14:textId="03AC81EB" w:rsidR="00D2566E" w:rsidRDefault="0009150E">
      <w:pPr>
        <w:spacing w:after="0" w:line="240" w:lineRule="auto"/>
        <w:jc w:val="both"/>
        <w:rPr>
          <w:rFonts w:ascii="Arial" w:hAnsi="Arial" w:cs="Arial"/>
        </w:rPr>
      </w:pPr>
      <w:r w:rsidRPr="00A765CE">
        <w:rPr>
          <w:rFonts w:ascii="Arial" w:hAnsi="Arial" w:cs="Arial"/>
          <w:b/>
          <w:bCs/>
        </w:rPr>
        <w:t>I</w:t>
      </w:r>
      <w:r w:rsidR="00A765CE" w:rsidRPr="00A765CE">
        <w:rPr>
          <w:rFonts w:ascii="Arial" w:hAnsi="Arial" w:cs="Arial"/>
          <w:b/>
          <w:bCs/>
        </w:rPr>
        <w:t>I</w:t>
      </w:r>
      <w:r w:rsidRPr="00A765CE">
        <w:rPr>
          <w:rFonts w:ascii="Arial" w:hAnsi="Arial" w:cs="Arial"/>
          <w:b/>
          <w:bCs/>
        </w:rPr>
        <w:t xml:space="preserve"> izmjene i dopune </w:t>
      </w:r>
      <w:r w:rsidR="00173220" w:rsidRPr="00A765CE">
        <w:rPr>
          <w:rFonts w:ascii="Arial" w:hAnsi="Arial" w:cs="Arial"/>
          <w:b/>
          <w:bCs/>
        </w:rPr>
        <w:t>Proračun</w:t>
      </w:r>
      <w:r w:rsidRPr="00A765CE">
        <w:rPr>
          <w:rFonts w:ascii="Arial" w:hAnsi="Arial" w:cs="Arial"/>
          <w:b/>
          <w:bCs/>
        </w:rPr>
        <w:t>a</w:t>
      </w:r>
      <w:r w:rsidR="00173220" w:rsidRPr="00A765CE">
        <w:rPr>
          <w:rFonts w:ascii="Arial" w:hAnsi="Arial" w:cs="Arial"/>
          <w:b/>
          <w:bCs/>
        </w:rPr>
        <w:t xml:space="preserve"> Općine Seget za 202</w:t>
      </w:r>
      <w:r w:rsidRPr="00A765CE">
        <w:rPr>
          <w:rFonts w:ascii="Arial" w:hAnsi="Arial" w:cs="Arial"/>
          <w:b/>
          <w:bCs/>
        </w:rPr>
        <w:t>5</w:t>
      </w:r>
      <w:r w:rsidR="00173220">
        <w:rPr>
          <w:rFonts w:ascii="Arial" w:hAnsi="Arial" w:cs="Arial"/>
        </w:rPr>
        <w:t xml:space="preserve">. godinu uključuje prihode i primitke, rashode i izdatke Općine te proračunskog korisnika, Dječjeg vrtića Seget. Transparentnost proračuna očituje se kroz raspored i pregled svih prihoda i primitaka te rashoda i izdataka prema proračunskim klasifikacijama određenim Zakonom o proračunu. </w:t>
      </w:r>
    </w:p>
    <w:p w14:paraId="6620AD0E" w14:textId="77777777" w:rsidR="00D2566E" w:rsidRDefault="00D2566E">
      <w:pPr>
        <w:spacing w:after="0" w:line="240" w:lineRule="auto"/>
        <w:jc w:val="both"/>
        <w:rPr>
          <w:rFonts w:ascii="Arial" w:hAnsi="Arial" w:cs="Arial"/>
        </w:rPr>
      </w:pPr>
    </w:p>
    <w:p w14:paraId="0E9BE34E" w14:textId="61A8A7B3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nastavku se daje obrazloženje </w:t>
      </w:r>
      <w:r w:rsidR="00645881" w:rsidRPr="00645881">
        <w:rPr>
          <w:rFonts w:ascii="Arial" w:hAnsi="Arial" w:cs="Arial"/>
          <w:b/>
          <w:bCs/>
        </w:rPr>
        <w:t>I</w:t>
      </w:r>
      <w:r w:rsidRPr="00645881">
        <w:rPr>
          <w:rFonts w:ascii="Arial" w:hAnsi="Arial" w:cs="Arial"/>
          <w:b/>
          <w:bCs/>
        </w:rPr>
        <w:t>I</w:t>
      </w:r>
      <w:r w:rsidR="0009150E">
        <w:rPr>
          <w:rFonts w:ascii="Arial" w:hAnsi="Arial" w:cs="Arial"/>
          <w:b/>
          <w:bCs/>
        </w:rPr>
        <w:t>.</w:t>
      </w:r>
      <w:r w:rsidRPr="00291B98">
        <w:rPr>
          <w:rFonts w:ascii="Arial" w:hAnsi="Arial" w:cs="Arial"/>
          <w:b/>
          <w:bCs/>
        </w:rPr>
        <w:t xml:space="preserve"> Izmjena i dopuna </w:t>
      </w:r>
      <w:r w:rsidRPr="00291B98">
        <w:rPr>
          <w:rFonts w:ascii="Arial" w:hAnsi="Arial" w:cs="Arial"/>
        </w:rPr>
        <w:t>proračuna Općine Seget</w:t>
      </w:r>
      <w:r>
        <w:rPr>
          <w:rFonts w:ascii="Arial" w:hAnsi="Arial" w:cs="Arial"/>
        </w:rPr>
        <w:t xml:space="preserve"> u skladu sa o</w:t>
      </w:r>
      <w:r>
        <w:rPr>
          <w:rFonts w:ascii="Arial" w:hAnsi="Arial" w:cs="Arial"/>
          <w:bCs/>
        </w:rPr>
        <w:t>dredbama članka 31. Zakona; obrazloženje o</w:t>
      </w:r>
      <w:r>
        <w:rPr>
          <w:rFonts w:ascii="Arial" w:hAnsi="Arial" w:cs="Arial"/>
        </w:rPr>
        <w:t>pćeg dijela proračuna i obrazloženja posebnog dijela proračuna.</w:t>
      </w:r>
    </w:p>
    <w:p w14:paraId="0D6BEC6C" w14:textId="1E365E9D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Obrazloženje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Općeg dijela </w:t>
      </w:r>
      <w:r w:rsidR="0064588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="0009150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Izmjena i dopuna proračun</w:t>
      </w:r>
      <w:r w:rsidRPr="0009150E"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sadrži obrazloženje prihoda i rashoda</w:t>
      </w:r>
      <w:r w:rsidR="00B202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primitaka i izdataka Općine te obrazloženje prenesenog viška proračuna u skladu sa odredbama članka 29. stavka 4. Zakona o proračunu.</w:t>
      </w:r>
    </w:p>
    <w:p w14:paraId="0059B0D9" w14:textId="26D865AF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Obrazloženje Posebnog dijela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</w:t>
      </w:r>
      <w:r w:rsidR="00645881">
        <w:rPr>
          <w:rFonts w:ascii="Arial" w:hAnsi="Arial" w:cs="Arial"/>
          <w:b/>
          <w:bCs/>
        </w:rPr>
        <w:t>I</w:t>
      </w:r>
      <w:r w:rsidR="0009150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Izmjena i dopuna proračuna</w:t>
      </w:r>
      <w:r>
        <w:rPr>
          <w:rFonts w:ascii="Arial" w:hAnsi="Arial" w:cs="Arial"/>
        </w:rPr>
        <w:t xml:space="preserve"> sastoji se od obrazloženja programa koje se daje kroz obrazloženje aktivnosti i projekata</w:t>
      </w:r>
      <w:r w:rsidR="00B2027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Obrazloženje Posebnog dijela detaljno prikazuje smanjen</w:t>
      </w:r>
      <w:r w:rsidR="00B20274">
        <w:rPr>
          <w:rFonts w:ascii="Arial" w:hAnsi="Arial" w:cs="Arial"/>
        </w:rPr>
        <w:t>j</w:t>
      </w:r>
      <w:r>
        <w:rPr>
          <w:rFonts w:ascii="Arial" w:hAnsi="Arial" w:cs="Arial"/>
        </w:rPr>
        <w:t>a i povećanja pojedinih stavki rashoda, aktivnosti i projekata prema proračunskim programima</w:t>
      </w:r>
      <w:r w:rsidR="00B20274">
        <w:rPr>
          <w:rFonts w:ascii="Arial" w:hAnsi="Arial" w:cs="Arial"/>
        </w:rPr>
        <w:t>.</w:t>
      </w:r>
    </w:p>
    <w:p w14:paraId="0BE21E7F" w14:textId="77777777" w:rsidR="00D2566E" w:rsidRDefault="00D2566E">
      <w:pPr>
        <w:jc w:val="both"/>
        <w:rPr>
          <w:rFonts w:ascii="Arial" w:hAnsi="Arial" w:cs="Arial"/>
        </w:rPr>
      </w:pPr>
    </w:p>
    <w:p w14:paraId="7CB8A150" w14:textId="71780347" w:rsidR="00D2566E" w:rsidRDefault="00173220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OPĆEG DIJELA IZMJENA I DOPUNA PRORAČUNA</w:t>
      </w:r>
    </w:p>
    <w:p w14:paraId="5211649A" w14:textId="77777777" w:rsidR="00D2566E" w:rsidRDefault="00D2566E">
      <w:pPr>
        <w:spacing w:after="0"/>
        <w:rPr>
          <w:rFonts w:ascii="Arial" w:hAnsi="Arial" w:cs="Arial"/>
          <w:b/>
        </w:rPr>
      </w:pPr>
    </w:p>
    <w:p w14:paraId="004D3DE4" w14:textId="77777777" w:rsidR="00D2566E" w:rsidRDefault="00D2566E">
      <w:pPr>
        <w:spacing w:after="0"/>
        <w:rPr>
          <w:rFonts w:ascii="Arial" w:hAnsi="Arial" w:cs="Arial"/>
          <w:bCs/>
        </w:rPr>
      </w:pPr>
    </w:p>
    <w:p w14:paraId="2E4C146B" w14:textId="77777777" w:rsidR="00D2566E" w:rsidRDefault="0017322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Odredbama članaka 29. i 34.  Zakona o proračunu određeno je da Opći dio proračuna sadrži:</w:t>
      </w:r>
    </w:p>
    <w:p w14:paraId="37B81661" w14:textId="15355815" w:rsidR="00D2566E" w:rsidRDefault="0017322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672E9F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ažetak Računa prihoda i rashoda i Računa financiranja</w:t>
      </w:r>
    </w:p>
    <w:p w14:paraId="2C3F505F" w14:textId="77777777" w:rsidR="00D2566E" w:rsidRDefault="0017322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Račun prihoda i rashoda i Račun financiranja.</w:t>
      </w:r>
    </w:p>
    <w:p w14:paraId="13FB0AC8" w14:textId="77777777" w:rsidR="00D2566E" w:rsidRDefault="0017322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Odredbama članka 31. određeno je da obrazloženje Općeg dijela proračuna sadrži:</w:t>
      </w:r>
    </w:p>
    <w:p w14:paraId="20D94BF6" w14:textId="77777777" w:rsidR="00D2566E" w:rsidRDefault="00173220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Cs/>
        </w:rPr>
      </w:pPr>
      <w:bookmarkStart w:id="1" w:name="_Hlk135687547"/>
      <w:r>
        <w:rPr>
          <w:rFonts w:ascii="Arial" w:hAnsi="Arial" w:cs="Arial"/>
          <w:bCs/>
        </w:rPr>
        <w:t>Obrazloženje prihoda i rashoda, primitaka i izdataka</w:t>
      </w:r>
      <w:bookmarkEnd w:id="1"/>
      <w:r>
        <w:rPr>
          <w:rFonts w:ascii="Arial" w:hAnsi="Arial" w:cs="Arial"/>
          <w:bCs/>
        </w:rPr>
        <w:t>,</w:t>
      </w:r>
    </w:p>
    <w:p w14:paraId="4B43E3C6" w14:textId="77777777" w:rsidR="00D2566E" w:rsidRDefault="00173220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Obrazloženje prenesenog rezultata poslovanja, viška poslovanja</w:t>
      </w:r>
    </w:p>
    <w:p w14:paraId="197EF074" w14:textId="77777777" w:rsidR="00B20274" w:rsidRDefault="00B20274">
      <w:pPr>
        <w:spacing w:after="0"/>
        <w:jc w:val="both"/>
        <w:rPr>
          <w:rFonts w:ascii="Arial" w:hAnsi="Arial" w:cs="Arial"/>
          <w:b/>
        </w:rPr>
      </w:pPr>
    </w:p>
    <w:p w14:paraId="6C971F06" w14:textId="77777777" w:rsidR="00AC2DDA" w:rsidRDefault="00AC2DDA">
      <w:pPr>
        <w:spacing w:after="0"/>
        <w:jc w:val="both"/>
        <w:rPr>
          <w:rFonts w:ascii="Arial" w:hAnsi="Arial" w:cs="Arial"/>
          <w:b/>
        </w:rPr>
      </w:pPr>
    </w:p>
    <w:p w14:paraId="73B9D313" w14:textId="77777777" w:rsidR="00AC2DDA" w:rsidRDefault="00AC2DDA">
      <w:pPr>
        <w:spacing w:after="0"/>
        <w:jc w:val="both"/>
        <w:rPr>
          <w:rFonts w:ascii="Arial" w:hAnsi="Arial" w:cs="Arial"/>
          <w:b/>
        </w:rPr>
      </w:pPr>
    </w:p>
    <w:p w14:paraId="5DD73C62" w14:textId="0A0C6B59" w:rsidR="00D2566E" w:rsidRDefault="0017322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Obrazloženje prihoda i rashoda, primitaka i izdataka</w:t>
      </w:r>
    </w:p>
    <w:p w14:paraId="5E704D2C" w14:textId="77777777" w:rsidR="00D65236" w:rsidRDefault="00D65236">
      <w:pPr>
        <w:spacing w:after="0"/>
        <w:jc w:val="both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  <w:gridCol w:w="1418"/>
        <w:gridCol w:w="1417"/>
        <w:gridCol w:w="1276"/>
        <w:gridCol w:w="1418"/>
      </w:tblGrid>
      <w:tr w:rsidR="002D73A6" w:rsidRPr="005E72E4" w14:paraId="2D182D18" w14:textId="77777777" w:rsidTr="0010427C">
        <w:trPr>
          <w:trHeight w:val="260"/>
        </w:trPr>
        <w:tc>
          <w:tcPr>
            <w:tcW w:w="3964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14:paraId="78AF4C5B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I. OPĆI DIO PRORAČUNA</w:t>
            </w:r>
          </w:p>
        </w:tc>
        <w:tc>
          <w:tcPr>
            <w:tcW w:w="1418" w:type="dxa"/>
            <w:shd w:val="clear" w:color="auto" w:fill="B8CCE4" w:themeFill="accent1" w:themeFillTint="66"/>
            <w:noWrap/>
            <w:vAlign w:val="center"/>
            <w:hideMark/>
          </w:tcPr>
          <w:p w14:paraId="7811349E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auto" w:fill="B8CCE4" w:themeFill="accent1" w:themeFillTint="66"/>
            <w:noWrap/>
            <w:vAlign w:val="center"/>
            <w:hideMark/>
          </w:tcPr>
          <w:p w14:paraId="471C9173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noWrap/>
            <w:vAlign w:val="center"/>
            <w:hideMark/>
          </w:tcPr>
          <w:p w14:paraId="2E04D2F4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noWrap/>
            <w:vAlign w:val="center"/>
            <w:hideMark/>
          </w:tcPr>
          <w:p w14:paraId="0A1D9CE1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D73A6" w:rsidRPr="005E72E4" w14:paraId="68FFB7D8" w14:textId="77777777" w:rsidTr="002F1733">
        <w:trPr>
          <w:trHeight w:val="292"/>
        </w:trPr>
        <w:tc>
          <w:tcPr>
            <w:tcW w:w="421" w:type="dxa"/>
            <w:noWrap/>
            <w:vAlign w:val="bottom"/>
            <w:hideMark/>
          </w:tcPr>
          <w:p w14:paraId="488B2CFE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1E49F207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5D6C3A6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417" w:type="dxa"/>
            <w:noWrap/>
            <w:vAlign w:val="bottom"/>
            <w:hideMark/>
          </w:tcPr>
          <w:p w14:paraId="6B1C6742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276" w:type="dxa"/>
            <w:vAlign w:val="bottom"/>
            <w:hideMark/>
          </w:tcPr>
          <w:p w14:paraId="3BB23268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418" w:type="dxa"/>
            <w:noWrap/>
            <w:vAlign w:val="bottom"/>
            <w:hideMark/>
          </w:tcPr>
          <w:p w14:paraId="3E449B1F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2D73A6" w:rsidRPr="005E72E4" w14:paraId="0EADF60C" w14:textId="77777777" w:rsidTr="002F1733">
        <w:trPr>
          <w:trHeight w:val="250"/>
        </w:trPr>
        <w:tc>
          <w:tcPr>
            <w:tcW w:w="421" w:type="dxa"/>
            <w:noWrap/>
            <w:vAlign w:val="bottom"/>
            <w:hideMark/>
          </w:tcPr>
          <w:p w14:paraId="353CD387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798BB7C2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01585E4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BE2B68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E941BBD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2F8D271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36722" w:rsidRPr="005E72E4" w14:paraId="597906B7" w14:textId="77777777" w:rsidTr="002F1733">
        <w:trPr>
          <w:trHeight w:val="260"/>
        </w:trPr>
        <w:tc>
          <w:tcPr>
            <w:tcW w:w="421" w:type="dxa"/>
            <w:shd w:val="clear" w:color="000000" w:fill="D0CECE"/>
            <w:noWrap/>
            <w:hideMark/>
          </w:tcPr>
          <w:p w14:paraId="42C4D84A" w14:textId="7029D30B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543" w:type="dxa"/>
            <w:shd w:val="clear" w:color="000000" w:fill="D0CECE"/>
            <w:noWrap/>
            <w:hideMark/>
          </w:tcPr>
          <w:p w14:paraId="14AA75FD" w14:textId="7B54E783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RAČUN PRIHODA I RASHODA</w:t>
            </w: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6A7D1BFC" w14:textId="0342823B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000000" w:fill="D0CECE"/>
            <w:noWrap/>
            <w:hideMark/>
          </w:tcPr>
          <w:p w14:paraId="5CA791C6" w14:textId="298ACBCE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000000" w:fill="D0CECE"/>
            <w:noWrap/>
            <w:hideMark/>
          </w:tcPr>
          <w:p w14:paraId="2390431B" w14:textId="4CB9646C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706B250B" w14:textId="7F4E51C1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A2518" w:rsidRPr="005E72E4" w14:paraId="4D26D688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13036DBB" w14:textId="77777777" w:rsidR="007A2518" w:rsidRPr="005E72E4" w:rsidRDefault="007A2518" w:rsidP="007A251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05954AD8" w14:textId="5094684D" w:rsidR="007A2518" w:rsidRPr="00363884" w:rsidRDefault="007A2518" w:rsidP="007A251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3884">
              <w:rPr>
                <w:sz w:val="20"/>
                <w:szCs w:val="20"/>
              </w:rPr>
              <w:t>Prihodi poslovanja</w:t>
            </w:r>
          </w:p>
        </w:tc>
        <w:tc>
          <w:tcPr>
            <w:tcW w:w="1418" w:type="dxa"/>
            <w:noWrap/>
            <w:hideMark/>
          </w:tcPr>
          <w:p w14:paraId="4B6504E1" w14:textId="1BF9F3E0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6.732.507,91</w:t>
            </w:r>
          </w:p>
        </w:tc>
        <w:tc>
          <w:tcPr>
            <w:tcW w:w="1417" w:type="dxa"/>
            <w:noWrap/>
            <w:hideMark/>
          </w:tcPr>
          <w:p w14:paraId="7D78FF5B" w14:textId="2786E72D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-283.129,00</w:t>
            </w:r>
          </w:p>
        </w:tc>
        <w:tc>
          <w:tcPr>
            <w:tcW w:w="1276" w:type="dxa"/>
            <w:noWrap/>
            <w:hideMark/>
          </w:tcPr>
          <w:p w14:paraId="25E93B2C" w14:textId="5313674D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-4.2%</w:t>
            </w:r>
          </w:p>
        </w:tc>
        <w:tc>
          <w:tcPr>
            <w:tcW w:w="1418" w:type="dxa"/>
            <w:noWrap/>
            <w:hideMark/>
          </w:tcPr>
          <w:p w14:paraId="7F8FDD39" w14:textId="77B056DA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6.449.378,91</w:t>
            </w:r>
          </w:p>
        </w:tc>
      </w:tr>
      <w:tr w:rsidR="007A2518" w:rsidRPr="005E72E4" w14:paraId="28557B16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6600FEF0" w14:textId="77777777" w:rsidR="007A2518" w:rsidRPr="005E72E4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4F412DBB" w14:textId="43473C02" w:rsidR="007A2518" w:rsidRPr="00363884" w:rsidRDefault="007A2518" w:rsidP="007A251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3884">
              <w:rPr>
                <w:sz w:val="20"/>
                <w:szCs w:val="20"/>
              </w:rPr>
              <w:t>Prihodi od prodaje nefinancijske imovine</w:t>
            </w:r>
          </w:p>
        </w:tc>
        <w:tc>
          <w:tcPr>
            <w:tcW w:w="1418" w:type="dxa"/>
            <w:noWrap/>
            <w:hideMark/>
          </w:tcPr>
          <w:p w14:paraId="12843208" w14:textId="15010010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480.000,00</w:t>
            </w:r>
          </w:p>
        </w:tc>
        <w:tc>
          <w:tcPr>
            <w:tcW w:w="1417" w:type="dxa"/>
            <w:noWrap/>
            <w:hideMark/>
          </w:tcPr>
          <w:p w14:paraId="7480213D" w14:textId="6A494413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288142C" w14:textId="0FC341FE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0.0%</w:t>
            </w:r>
          </w:p>
        </w:tc>
        <w:tc>
          <w:tcPr>
            <w:tcW w:w="1418" w:type="dxa"/>
            <w:noWrap/>
            <w:hideMark/>
          </w:tcPr>
          <w:p w14:paraId="697AD54B" w14:textId="0EFF3316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480.000,00</w:t>
            </w:r>
          </w:p>
        </w:tc>
      </w:tr>
      <w:tr w:rsidR="007A2518" w:rsidRPr="005E72E4" w14:paraId="5B15ADA7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725FB07D" w14:textId="77777777" w:rsidR="007A2518" w:rsidRPr="005E72E4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5C029FC6" w14:textId="127AD0E9" w:rsidR="007A2518" w:rsidRPr="00363884" w:rsidRDefault="007A2518" w:rsidP="007A251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3884">
              <w:rPr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noWrap/>
            <w:hideMark/>
          </w:tcPr>
          <w:p w14:paraId="6BB84C37" w14:textId="0AAC2855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5.467.141,78</w:t>
            </w:r>
          </w:p>
        </w:tc>
        <w:tc>
          <w:tcPr>
            <w:tcW w:w="1417" w:type="dxa"/>
            <w:noWrap/>
            <w:hideMark/>
          </w:tcPr>
          <w:p w14:paraId="1850B94B" w14:textId="0BBFD757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507.000,00</w:t>
            </w:r>
          </w:p>
        </w:tc>
        <w:tc>
          <w:tcPr>
            <w:tcW w:w="1276" w:type="dxa"/>
            <w:noWrap/>
            <w:hideMark/>
          </w:tcPr>
          <w:p w14:paraId="6BE12785" w14:textId="08A77CC1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9.3%</w:t>
            </w:r>
          </w:p>
        </w:tc>
        <w:tc>
          <w:tcPr>
            <w:tcW w:w="1418" w:type="dxa"/>
            <w:noWrap/>
            <w:hideMark/>
          </w:tcPr>
          <w:p w14:paraId="37B5F8C7" w14:textId="1DD446ED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5.974.141,78</w:t>
            </w:r>
          </w:p>
        </w:tc>
      </w:tr>
      <w:tr w:rsidR="007A2518" w:rsidRPr="005E72E4" w14:paraId="1898E97B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69B3C4D2" w14:textId="77777777" w:rsidR="007A2518" w:rsidRPr="005E72E4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30928E5F" w14:textId="544B0ECB" w:rsidR="007A2518" w:rsidRPr="00363884" w:rsidRDefault="007A2518" w:rsidP="007A251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3884"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418" w:type="dxa"/>
            <w:noWrap/>
            <w:hideMark/>
          </w:tcPr>
          <w:p w14:paraId="016CA370" w14:textId="02323E2E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5.036.309,45</w:t>
            </w:r>
          </w:p>
        </w:tc>
        <w:tc>
          <w:tcPr>
            <w:tcW w:w="1417" w:type="dxa"/>
            <w:noWrap/>
            <w:hideMark/>
          </w:tcPr>
          <w:p w14:paraId="3FC6B9C2" w14:textId="6D9BE1DE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-700.129,00</w:t>
            </w:r>
          </w:p>
        </w:tc>
        <w:tc>
          <w:tcPr>
            <w:tcW w:w="1276" w:type="dxa"/>
            <w:noWrap/>
            <w:hideMark/>
          </w:tcPr>
          <w:p w14:paraId="45D1188D" w14:textId="5A1F5630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-13.9%</w:t>
            </w:r>
          </w:p>
        </w:tc>
        <w:tc>
          <w:tcPr>
            <w:tcW w:w="1418" w:type="dxa"/>
            <w:noWrap/>
            <w:hideMark/>
          </w:tcPr>
          <w:p w14:paraId="01A7ACB2" w14:textId="7D0DF873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sz w:val="20"/>
                <w:szCs w:val="20"/>
              </w:rPr>
              <w:t>4.336.180,45</w:t>
            </w:r>
          </w:p>
        </w:tc>
      </w:tr>
      <w:tr w:rsidR="007A2518" w:rsidRPr="007A2518" w14:paraId="7DF11E91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3D41CBBB" w14:textId="77777777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2031A52E" w14:textId="5CCD06F9" w:rsidR="007A2518" w:rsidRPr="007A2518" w:rsidRDefault="007A2518" w:rsidP="007A251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418" w:type="dxa"/>
            <w:noWrap/>
            <w:hideMark/>
          </w:tcPr>
          <w:p w14:paraId="2B9AA895" w14:textId="787E6742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b/>
                <w:bCs/>
                <w:sz w:val="20"/>
                <w:szCs w:val="20"/>
              </w:rPr>
              <w:t>-3.290.943,32</w:t>
            </w:r>
          </w:p>
        </w:tc>
        <w:tc>
          <w:tcPr>
            <w:tcW w:w="1417" w:type="dxa"/>
            <w:noWrap/>
            <w:hideMark/>
          </w:tcPr>
          <w:p w14:paraId="674231EB" w14:textId="1C05663A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b/>
                <w:bCs/>
                <w:sz w:val="20"/>
                <w:szCs w:val="20"/>
              </w:rPr>
              <w:t>-90.000,00</w:t>
            </w:r>
          </w:p>
        </w:tc>
        <w:tc>
          <w:tcPr>
            <w:tcW w:w="1276" w:type="dxa"/>
            <w:noWrap/>
            <w:hideMark/>
          </w:tcPr>
          <w:p w14:paraId="718203BF" w14:textId="34F6DA48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b/>
                <w:bCs/>
                <w:sz w:val="20"/>
                <w:szCs w:val="20"/>
              </w:rPr>
              <w:t>2.7%</w:t>
            </w:r>
          </w:p>
        </w:tc>
        <w:tc>
          <w:tcPr>
            <w:tcW w:w="1418" w:type="dxa"/>
            <w:noWrap/>
            <w:hideMark/>
          </w:tcPr>
          <w:p w14:paraId="23D6AE80" w14:textId="7056C274" w:rsidR="007A2518" w:rsidRPr="007A2518" w:rsidRDefault="007A2518" w:rsidP="007A2518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A2518">
              <w:rPr>
                <w:b/>
                <w:bCs/>
                <w:sz w:val="20"/>
                <w:szCs w:val="20"/>
              </w:rPr>
              <w:t>-3.380.943,32</w:t>
            </w:r>
          </w:p>
        </w:tc>
      </w:tr>
      <w:tr w:rsidR="00236722" w:rsidRPr="005E72E4" w14:paraId="7A4D58F6" w14:textId="77777777" w:rsidTr="002F1733">
        <w:trPr>
          <w:trHeight w:val="250"/>
        </w:trPr>
        <w:tc>
          <w:tcPr>
            <w:tcW w:w="421" w:type="dxa"/>
            <w:noWrap/>
            <w:hideMark/>
          </w:tcPr>
          <w:p w14:paraId="262E981D" w14:textId="77777777" w:rsidR="00236722" w:rsidRPr="005E72E4" w:rsidRDefault="00236722" w:rsidP="0023672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648E58B0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43ED5511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noWrap/>
            <w:hideMark/>
          </w:tcPr>
          <w:p w14:paraId="02E5540E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noWrap/>
            <w:hideMark/>
          </w:tcPr>
          <w:p w14:paraId="32D65FA0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651F3BFE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36722" w:rsidRPr="005E72E4" w14:paraId="4C725FB3" w14:textId="77777777" w:rsidTr="002F1733">
        <w:trPr>
          <w:trHeight w:val="260"/>
        </w:trPr>
        <w:tc>
          <w:tcPr>
            <w:tcW w:w="421" w:type="dxa"/>
            <w:shd w:val="clear" w:color="000000" w:fill="D0CECE"/>
            <w:noWrap/>
            <w:hideMark/>
          </w:tcPr>
          <w:p w14:paraId="045ABF78" w14:textId="5033492C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543" w:type="dxa"/>
            <w:shd w:val="clear" w:color="000000" w:fill="D0CECE"/>
            <w:noWrap/>
            <w:hideMark/>
          </w:tcPr>
          <w:p w14:paraId="287019DD" w14:textId="227913D1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RAČUN ZADUŽIVANJA/FINANCIRANJA</w:t>
            </w: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6F9D00C2" w14:textId="19F9EB21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000000" w:fill="D0CECE"/>
            <w:noWrap/>
            <w:hideMark/>
          </w:tcPr>
          <w:p w14:paraId="75330BA2" w14:textId="23BE1F4A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000000" w:fill="D0CECE"/>
            <w:noWrap/>
            <w:hideMark/>
          </w:tcPr>
          <w:p w14:paraId="42523B1D" w14:textId="4FC32C9A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67B2ABB6" w14:textId="0D92FE2B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C1A37" w:rsidRPr="005E72E4" w14:paraId="39FF21E6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5ACE3629" w14:textId="77777777" w:rsidR="001C1A37" w:rsidRPr="005E72E4" w:rsidRDefault="001C1A37" w:rsidP="001C1A3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34009E75" w14:textId="005CAC19" w:rsidR="001C1A37" w:rsidRPr="00AF5D6A" w:rsidRDefault="001C1A37" w:rsidP="001C1A3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5D6A">
              <w:rPr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18" w:type="dxa"/>
            <w:noWrap/>
            <w:hideMark/>
          </w:tcPr>
          <w:p w14:paraId="16CBC6FF" w14:textId="101E8B02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sz w:val="20"/>
                <w:szCs w:val="20"/>
              </w:rPr>
              <w:t>390.875,00</w:t>
            </w:r>
          </w:p>
        </w:tc>
        <w:tc>
          <w:tcPr>
            <w:tcW w:w="1417" w:type="dxa"/>
            <w:noWrap/>
            <w:hideMark/>
          </w:tcPr>
          <w:p w14:paraId="229DEBF8" w14:textId="4A0555EB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sz w:val="20"/>
                <w:szCs w:val="20"/>
              </w:rPr>
              <w:t>460.000,00</w:t>
            </w:r>
          </w:p>
        </w:tc>
        <w:tc>
          <w:tcPr>
            <w:tcW w:w="1276" w:type="dxa"/>
            <w:noWrap/>
            <w:hideMark/>
          </w:tcPr>
          <w:p w14:paraId="1F725FF0" w14:textId="194C38E9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sz w:val="20"/>
                <w:szCs w:val="20"/>
              </w:rPr>
              <w:t>117.7%</w:t>
            </w:r>
          </w:p>
        </w:tc>
        <w:tc>
          <w:tcPr>
            <w:tcW w:w="1418" w:type="dxa"/>
            <w:noWrap/>
            <w:hideMark/>
          </w:tcPr>
          <w:p w14:paraId="01D741AC" w14:textId="776F1004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sz w:val="20"/>
                <w:szCs w:val="20"/>
              </w:rPr>
              <w:t>850.875,00</w:t>
            </w:r>
          </w:p>
        </w:tc>
      </w:tr>
      <w:tr w:rsidR="001C1A37" w:rsidRPr="005E72E4" w14:paraId="5685D4A3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0BC45A2A" w14:textId="77777777" w:rsidR="001C1A37" w:rsidRPr="005E72E4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06C3AD11" w14:textId="692C6D6B" w:rsidR="001C1A37" w:rsidRPr="00AF5D6A" w:rsidRDefault="001C1A37" w:rsidP="001C1A3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5D6A">
              <w:rPr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18" w:type="dxa"/>
            <w:noWrap/>
            <w:hideMark/>
          </w:tcPr>
          <w:p w14:paraId="1BD3144F" w14:textId="284629FD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sz w:val="20"/>
                <w:szCs w:val="20"/>
              </w:rPr>
              <w:t>660.875,00</w:t>
            </w:r>
          </w:p>
        </w:tc>
        <w:tc>
          <w:tcPr>
            <w:tcW w:w="1417" w:type="dxa"/>
            <w:noWrap/>
            <w:hideMark/>
          </w:tcPr>
          <w:p w14:paraId="0BBED7D8" w14:textId="040ACBEA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sz w:val="20"/>
                <w:szCs w:val="20"/>
              </w:rPr>
              <w:t>370.000,00</w:t>
            </w:r>
          </w:p>
        </w:tc>
        <w:tc>
          <w:tcPr>
            <w:tcW w:w="1276" w:type="dxa"/>
            <w:noWrap/>
            <w:hideMark/>
          </w:tcPr>
          <w:p w14:paraId="336B3556" w14:textId="2B93C19A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sz w:val="20"/>
                <w:szCs w:val="20"/>
              </w:rPr>
              <w:t>56.0%</w:t>
            </w:r>
          </w:p>
        </w:tc>
        <w:tc>
          <w:tcPr>
            <w:tcW w:w="1418" w:type="dxa"/>
            <w:noWrap/>
            <w:hideMark/>
          </w:tcPr>
          <w:p w14:paraId="32EA031A" w14:textId="135C46F1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sz w:val="20"/>
                <w:szCs w:val="20"/>
              </w:rPr>
              <w:t>1.030.875,00</w:t>
            </w:r>
          </w:p>
        </w:tc>
      </w:tr>
      <w:tr w:rsidR="001C1A37" w:rsidRPr="001C1A37" w14:paraId="22326C17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673B4309" w14:textId="77777777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67879798" w14:textId="72348305" w:rsidR="001C1A37" w:rsidRPr="001C1A37" w:rsidRDefault="001C1A37" w:rsidP="001C1A3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18" w:type="dxa"/>
            <w:noWrap/>
            <w:hideMark/>
          </w:tcPr>
          <w:p w14:paraId="57CF8E90" w14:textId="4A29E79C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b/>
                <w:bCs/>
                <w:sz w:val="20"/>
                <w:szCs w:val="20"/>
              </w:rPr>
              <w:t>-270.000,00</w:t>
            </w:r>
          </w:p>
        </w:tc>
        <w:tc>
          <w:tcPr>
            <w:tcW w:w="1417" w:type="dxa"/>
            <w:noWrap/>
            <w:hideMark/>
          </w:tcPr>
          <w:p w14:paraId="509D1D2D" w14:textId="59B8F6E2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276" w:type="dxa"/>
            <w:noWrap/>
            <w:hideMark/>
          </w:tcPr>
          <w:p w14:paraId="367532A5" w14:textId="76CB31F5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b/>
                <w:bCs/>
                <w:sz w:val="20"/>
                <w:szCs w:val="20"/>
              </w:rPr>
              <w:t>-33.3%</w:t>
            </w:r>
          </w:p>
        </w:tc>
        <w:tc>
          <w:tcPr>
            <w:tcW w:w="1418" w:type="dxa"/>
            <w:noWrap/>
            <w:hideMark/>
          </w:tcPr>
          <w:p w14:paraId="4924C1FA" w14:textId="342A40D5" w:rsidR="001C1A37" w:rsidRPr="001C1A37" w:rsidRDefault="001C1A37" w:rsidP="001C1A3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A37">
              <w:rPr>
                <w:b/>
                <w:bCs/>
                <w:sz w:val="20"/>
                <w:szCs w:val="20"/>
              </w:rPr>
              <w:t>-180.000,00</w:t>
            </w:r>
          </w:p>
        </w:tc>
      </w:tr>
      <w:tr w:rsidR="00236722" w:rsidRPr="005E72E4" w14:paraId="66B3DDFA" w14:textId="77777777" w:rsidTr="002F1733">
        <w:trPr>
          <w:trHeight w:val="250"/>
        </w:trPr>
        <w:tc>
          <w:tcPr>
            <w:tcW w:w="421" w:type="dxa"/>
            <w:noWrap/>
            <w:hideMark/>
          </w:tcPr>
          <w:p w14:paraId="036960C9" w14:textId="77777777" w:rsidR="00236722" w:rsidRPr="005E72E4" w:rsidRDefault="00236722" w:rsidP="0023672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7CB2BBDC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6FDDD3A4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noWrap/>
            <w:hideMark/>
          </w:tcPr>
          <w:p w14:paraId="2C0D29FF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noWrap/>
            <w:hideMark/>
          </w:tcPr>
          <w:p w14:paraId="1010F960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763B9444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36722" w:rsidRPr="005E72E4" w14:paraId="2D9EEA20" w14:textId="77777777" w:rsidTr="002F1733">
        <w:trPr>
          <w:trHeight w:val="260"/>
        </w:trPr>
        <w:tc>
          <w:tcPr>
            <w:tcW w:w="421" w:type="dxa"/>
            <w:shd w:val="clear" w:color="000000" w:fill="D0CECE"/>
            <w:noWrap/>
            <w:hideMark/>
          </w:tcPr>
          <w:p w14:paraId="1D57A19B" w14:textId="0831D22A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3543" w:type="dxa"/>
            <w:shd w:val="clear" w:color="000000" w:fill="D0CECE"/>
            <w:noWrap/>
            <w:hideMark/>
          </w:tcPr>
          <w:p w14:paraId="45DF6C5C" w14:textId="2783AAA0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RASPOLOŽIVA SREDSTVA IZ PRETHODNIH GODINA</w:t>
            </w: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274CCFFA" w14:textId="01359093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000000" w:fill="D0CECE"/>
            <w:noWrap/>
            <w:hideMark/>
          </w:tcPr>
          <w:p w14:paraId="48D37965" w14:textId="7EF7FFB6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000000" w:fill="D0CECE"/>
            <w:noWrap/>
            <w:hideMark/>
          </w:tcPr>
          <w:p w14:paraId="73E4EDC8" w14:textId="0B19DEAF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3083068C" w14:textId="7A809E70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932C9" w:rsidRPr="005E72E4" w14:paraId="023B1451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4488891E" w14:textId="77777777" w:rsidR="003932C9" w:rsidRPr="003932C9" w:rsidRDefault="003932C9" w:rsidP="003932C9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45012648" w14:textId="6A999094" w:rsidR="003932C9" w:rsidRPr="003932C9" w:rsidRDefault="003932C9" w:rsidP="003932C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VIŠAK/MANJAK IZ PRETHODNIH GODINA</w:t>
            </w:r>
          </w:p>
        </w:tc>
        <w:tc>
          <w:tcPr>
            <w:tcW w:w="1418" w:type="dxa"/>
            <w:noWrap/>
            <w:hideMark/>
          </w:tcPr>
          <w:p w14:paraId="58265E96" w14:textId="2C5680A5" w:rsidR="003932C9" w:rsidRPr="003932C9" w:rsidRDefault="003932C9" w:rsidP="003932C9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3.560.943,32</w:t>
            </w:r>
          </w:p>
        </w:tc>
        <w:tc>
          <w:tcPr>
            <w:tcW w:w="1417" w:type="dxa"/>
            <w:noWrap/>
            <w:hideMark/>
          </w:tcPr>
          <w:p w14:paraId="530796CE" w14:textId="36786390" w:rsidR="003932C9" w:rsidRPr="003932C9" w:rsidRDefault="003932C9" w:rsidP="003932C9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5312F68" w14:textId="164BB1EB" w:rsidR="003932C9" w:rsidRPr="003932C9" w:rsidRDefault="003932C9" w:rsidP="003932C9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1418" w:type="dxa"/>
            <w:noWrap/>
            <w:hideMark/>
          </w:tcPr>
          <w:p w14:paraId="2AF48911" w14:textId="0DBC4B5B" w:rsidR="003932C9" w:rsidRPr="003932C9" w:rsidRDefault="003932C9" w:rsidP="003932C9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3.560.943,32</w:t>
            </w:r>
          </w:p>
        </w:tc>
      </w:tr>
      <w:tr w:rsidR="00236722" w:rsidRPr="005E72E4" w14:paraId="01EC54A6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2E9E717A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0F742100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7522C202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noWrap/>
            <w:hideMark/>
          </w:tcPr>
          <w:p w14:paraId="5179ABBB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noWrap/>
            <w:hideMark/>
          </w:tcPr>
          <w:p w14:paraId="43BDF914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6A094D6E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36722" w:rsidRPr="005E72E4" w14:paraId="7BCCDD81" w14:textId="77777777" w:rsidTr="002F1733">
        <w:trPr>
          <w:trHeight w:val="530"/>
        </w:trPr>
        <w:tc>
          <w:tcPr>
            <w:tcW w:w="421" w:type="dxa"/>
            <w:noWrap/>
            <w:hideMark/>
          </w:tcPr>
          <w:p w14:paraId="6278160E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hideMark/>
          </w:tcPr>
          <w:p w14:paraId="33F3084E" w14:textId="46141592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418" w:type="dxa"/>
            <w:noWrap/>
            <w:hideMark/>
          </w:tcPr>
          <w:p w14:paraId="0D92746D" w14:textId="258A976F" w:rsidR="00236722" w:rsidRPr="003932C9" w:rsidRDefault="00236722" w:rsidP="00236722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6893624" w14:textId="4729B2B3" w:rsidR="00236722" w:rsidRPr="003932C9" w:rsidRDefault="00236722" w:rsidP="00236722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8EED3EE" w14:textId="5390E572" w:rsidR="00236722" w:rsidRPr="003932C9" w:rsidRDefault="00236722" w:rsidP="00236722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0,00%</w:t>
            </w:r>
          </w:p>
        </w:tc>
        <w:tc>
          <w:tcPr>
            <w:tcW w:w="1418" w:type="dxa"/>
            <w:noWrap/>
            <w:hideMark/>
          </w:tcPr>
          <w:p w14:paraId="1D450491" w14:textId="5AEB6541" w:rsidR="00236722" w:rsidRPr="003932C9" w:rsidRDefault="00236722" w:rsidP="00236722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</w:t>
            </w:r>
          </w:p>
        </w:tc>
      </w:tr>
    </w:tbl>
    <w:p w14:paraId="6C9CAC1E" w14:textId="77777777" w:rsidR="0083142F" w:rsidRDefault="0083142F">
      <w:pPr>
        <w:spacing w:after="0"/>
        <w:jc w:val="both"/>
        <w:rPr>
          <w:rFonts w:ascii="Arial" w:hAnsi="Arial" w:cs="Arial"/>
          <w:b/>
        </w:rPr>
      </w:pPr>
    </w:p>
    <w:p w14:paraId="4978E6DA" w14:textId="77777777" w:rsidR="00125BCF" w:rsidRPr="00B017F1" w:rsidRDefault="00125BCF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017F1">
        <w:rPr>
          <w:rFonts w:ascii="Arial" w:hAnsi="Arial" w:cs="Arial"/>
          <w:b/>
          <w:sz w:val="18"/>
          <w:szCs w:val="18"/>
        </w:rPr>
        <w:t>Tablica 1. Prihodi, rashodi, primitci i izdaci</w:t>
      </w:r>
    </w:p>
    <w:p w14:paraId="3E3D0925" w14:textId="77777777" w:rsidR="00125BCF" w:rsidRDefault="00125BCF" w:rsidP="00125BCF">
      <w:pPr>
        <w:spacing w:after="0"/>
        <w:jc w:val="both"/>
        <w:rPr>
          <w:rFonts w:ascii="Arial" w:hAnsi="Arial" w:cs="Arial"/>
          <w:b/>
        </w:rPr>
      </w:pPr>
    </w:p>
    <w:p w14:paraId="4694A303" w14:textId="537EF185" w:rsidR="00125BCF" w:rsidRPr="00C10EEF" w:rsidRDefault="00125BCF" w:rsidP="00125BCF">
      <w:pPr>
        <w:spacing w:after="0"/>
        <w:jc w:val="both"/>
        <w:rPr>
          <w:rFonts w:ascii="Arial" w:hAnsi="Arial" w:cs="Arial"/>
        </w:rPr>
      </w:pPr>
      <w:bookmarkStart w:id="2" w:name="_Hlk130330741"/>
      <w:bookmarkEnd w:id="2"/>
      <w:r w:rsidRPr="00C10EEF">
        <w:rPr>
          <w:rFonts w:ascii="Arial" w:hAnsi="Arial" w:cs="Arial"/>
        </w:rPr>
        <w:t xml:space="preserve">Iz sažetka </w:t>
      </w:r>
      <w:r w:rsidRPr="00C10EEF">
        <w:rPr>
          <w:rFonts w:ascii="Arial" w:hAnsi="Arial" w:cs="Arial"/>
          <w:b/>
          <w:bCs/>
        </w:rPr>
        <w:t>A – Račun prihoda i rashoda</w:t>
      </w:r>
      <w:r w:rsidRPr="00C10EEF">
        <w:rPr>
          <w:rFonts w:ascii="Arial" w:hAnsi="Arial" w:cs="Arial"/>
        </w:rPr>
        <w:t xml:space="preserve"> vidljivo je da se </w:t>
      </w:r>
      <w:r w:rsidRPr="00C10EEF">
        <w:rPr>
          <w:rFonts w:ascii="Arial" w:hAnsi="Arial" w:cs="Arial"/>
          <w:b/>
          <w:bCs/>
        </w:rPr>
        <w:t>I</w:t>
      </w:r>
      <w:r w:rsidR="003932C9">
        <w:rPr>
          <w:rFonts w:ascii="Arial" w:hAnsi="Arial" w:cs="Arial"/>
          <w:b/>
          <w:bCs/>
        </w:rPr>
        <w:t>I</w:t>
      </w:r>
      <w:r w:rsidRPr="00C10EEF">
        <w:rPr>
          <w:rFonts w:ascii="Arial" w:hAnsi="Arial" w:cs="Arial"/>
          <w:b/>
          <w:bCs/>
        </w:rPr>
        <w:t>. Izmjenama i dopunama</w:t>
      </w:r>
      <w:r w:rsidRPr="00C10EEF">
        <w:rPr>
          <w:rFonts w:ascii="Arial" w:hAnsi="Arial" w:cs="Arial"/>
        </w:rPr>
        <w:t xml:space="preserve"> proračuna mijenjaju ukupni prihodi i rashodi. Prihodi </w:t>
      </w:r>
      <w:r w:rsidRPr="006A3C00">
        <w:rPr>
          <w:rFonts w:ascii="Arial" w:hAnsi="Arial" w:cs="Arial"/>
        </w:rPr>
        <w:t xml:space="preserve">poslovanja </w:t>
      </w:r>
      <w:r w:rsidR="003932C9">
        <w:rPr>
          <w:rFonts w:ascii="Arial" w:hAnsi="Arial" w:cs="Arial"/>
        </w:rPr>
        <w:t>smanjuju</w:t>
      </w:r>
      <w:r w:rsidRPr="006A3C00">
        <w:rPr>
          <w:rFonts w:ascii="Arial" w:hAnsi="Arial" w:cs="Arial"/>
        </w:rPr>
        <w:t xml:space="preserve"> se za </w:t>
      </w:r>
      <w:r w:rsidR="00C0033D" w:rsidRPr="00C0033D">
        <w:rPr>
          <w:rFonts w:ascii="Arial" w:hAnsi="Arial" w:cs="Arial"/>
        </w:rPr>
        <w:t>283.129,00</w:t>
      </w:r>
      <w:r w:rsidR="00C0033D">
        <w:rPr>
          <w:rFonts w:ascii="Arial" w:hAnsi="Arial" w:cs="Arial"/>
        </w:rPr>
        <w:t xml:space="preserve"> </w:t>
      </w:r>
      <w:r w:rsidRPr="006A3C00">
        <w:rPr>
          <w:rFonts w:ascii="Arial" w:hAnsi="Arial" w:cs="Arial"/>
        </w:rPr>
        <w:t xml:space="preserve">EUR, dok se prihodi od prodaje nefinancijske imovine </w:t>
      </w:r>
      <w:r w:rsidR="00C0033D">
        <w:rPr>
          <w:rFonts w:ascii="Arial" w:hAnsi="Arial" w:cs="Arial"/>
        </w:rPr>
        <w:t>ostaju ne promijenjeni</w:t>
      </w:r>
      <w:r w:rsidRPr="006A3C00">
        <w:rPr>
          <w:rFonts w:ascii="Arial" w:hAnsi="Arial" w:cs="Arial"/>
        </w:rPr>
        <w:t xml:space="preserve">. Rashodi poslovanja </w:t>
      </w:r>
      <w:r w:rsidR="006C603A">
        <w:rPr>
          <w:rFonts w:ascii="Arial" w:hAnsi="Arial" w:cs="Arial"/>
        </w:rPr>
        <w:t>povećavaju</w:t>
      </w:r>
      <w:r w:rsidRPr="006A3C00">
        <w:rPr>
          <w:rFonts w:ascii="Arial" w:hAnsi="Arial" w:cs="Arial"/>
        </w:rPr>
        <w:t xml:space="preserve"> se za </w:t>
      </w:r>
      <w:r w:rsidR="006C603A">
        <w:rPr>
          <w:rFonts w:ascii="Arial" w:hAnsi="Arial" w:cs="Arial"/>
        </w:rPr>
        <w:t>9</w:t>
      </w:r>
      <w:r w:rsidR="00496E49">
        <w:rPr>
          <w:rFonts w:ascii="Arial" w:hAnsi="Arial" w:cs="Arial"/>
        </w:rPr>
        <w:t>,</w:t>
      </w:r>
      <w:r w:rsidR="006C603A">
        <w:rPr>
          <w:rFonts w:ascii="Arial" w:hAnsi="Arial" w:cs="Arial"/>
        </w:rPr>
        <w:t>3</w:t>
      </w:r>
      <w:r w:rsidRPr="006A3C00">
        <w:rPr>
          <w:rFonts w:ascii="Arial" w:hAnsi="Arial" w:cs="Arial"/>
        </w:rPr>
        <w:t xml:space="preserve">%, odnosno za iznos od </w:t>
      </w:r>
      <w:r w:rsidR="006C603A" w:rsidRPr="006C603A">
        <w:rPr>
          <w:rFonts w:ascii="Arial" w:hAnsi="Arial" w:cs="Arial"/>
        </w:rPr>
        <w:t>507.000,00</w:t>
      </w:r>
      <w:r w:rsidR="006C603A">
        <w:rPr>
          <w:rFonts w:ascii="Arial" w:hAnsi="Arial" w:cs="Arial"/>
        </w:rPr>
        <w:t xml:space="preserve"> </w:t>
      </w:r>
      <w:r w:rsidRPr="006A3C00">
        <w:rPr>
          <w:rFonts w:ascii="Arial" w:hAnsi="Arial" w:cs="Arial"/>
        </w:rPr>
        <w:t xml:space="preserve">EUR. Rashodi za nabavu nefinancijske imovine </w:t>
      </w:r>
      <w:r w:rsidR="003932C9">
        <w:rPr>
          <w:rFonts w:ascii="Arial" w:hAnsi="Arial" w:cs="Arial"/>
        </w:rPr>
        <w:t>smanjuju</w:t>
      </w:r>
      <w:r w:rsidRPr="006A3C00">
        <w:rPr>
          <w:rFonts w:ascii="Arial" w:hAnsi="Arial" w:cs="Arial"/>
        </w:rPr>
        <w:t xml:space="preserve"> se za iznos od </w:t>
      </w:r>
      <w:r w:rsidR="006C4E87">
        <w:rPr>
          <w:rFonts w:ascii="Arial" w:hAnsi="Arial" w:cs="Arial"/>
        </w:rPr>
        <w:t xml:space="preserve"> </w:t>
      </w:r>
      <w:r w:rsidR="006C603A" w:rsidRPr="006C603A">
        <w:rPr>
          <w:rFonts w:ascii="Arial" w:hAnsi="Arial" w:cs="Arial"/>
        </w:rPr>
        <w:t>700.129,00</w:t>
      </w:r>
      <w:r w:rsidR="006C603A">
        <w:rPr>
          <w:rFonts w:ascii="Arial" w:hAnsi="Arial" w:cs="Arial"/>
        </w:rPr>
        <w:t xml:space="preserve"> </w:t>
      </w:r>
      <w:r w:rsidR="003932C9">
        <w:rPr>
          <w:rFonts w:ascii="Arial" w:hAnsi="Arial" w:cs="Arial"/>
        </w:rPr>
        <w:t>E</w:t>
      </w:r>
      <w:r w:rsidRPr="006A3C00">
        <w:rPr>
          <w:rFonts w:ascii="Arial" w:hAnsi="Arial" w:cs="Arial"/>
        </w:rPr>
        <w:t>UR.</w:t>
      </w:r>
    </w:p>
    <w:p w14:paraId="4F3E8A5F" w14:textId="77777777" w:rsidR="00125BCF" w:rsidRDefault="00125BCF" w:rsidP="00125BCF">
      <w:pPr>
        <w:spacing w:after="0"/>
        <w:jc w:val="both"/>
        <w:rPr>
          <w:rFonts w:ascii="Arial" w:hAnsi="Arial" w:cs="Arial"/>
          <w:bCs/>
        </w:rPr>
      </w:pPr>
    </w:p>
    <w:p w14:paraId="2D4F4803" w14:textId="6829FD3F" w:rsidR="00125BCF" w:rsidRDefault="00125BCF" w:rsidP="00125BCF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A672C9">
        <w:rPr>
          <w:rFonts w:ascii="Arial" w:hAnsi="Arial" w:cs="Arial"/>
        </w:rPr>
        <w:t xml:space="preserve">Sažetak </w:t>
      </w:r>
      <w:r w:rsidRPr="00A672C9">
        <w:rPr>
          <w:rFonts w:ascii="Arial" w:hAnsi="Arial" w:cs="Arial"/>
          <w:b/>
          <w:bCs/>
        </w:rPr>
        <w:t>B - Račun financiranja</w:t>
      </w:r>
      <w:r w:rsidRPr="00A672C9">
        <w:rPr>
          <w:rFonts w:ascii="Arial" w:hAnsi="Arial" w:cs="Arial"/>
        </w:rPr>
        <w:t xml:space="preserve"> prikazuje </w:t>
      </w:r>
      <w:r w:rsidRPr="00A672C9">
        <w:rPr>
          <w:rFonts w:ascii="Arial" w:eastAsia="Times New Roman" w:hAnsi="Arial" w:cs="Arial"/>
          <w:b/>
          <w:bCs/>
          <w:kern w:val="2"/>
          <w:lang w:eastAsia="hr-HR"/>
        </w:rPr>
        <w:t>primitke od financijske imovine i zaduživanja</w:t>
      </w:r>
      <w:r w:rsidRPr="00A672C9">
        <w:rPr>
          <w:rFonts w:ascii="Arial" w:eastAsia="Times New Roman" w:hAnsi="Arial" w:cs="Arial"/>
          <w:kern w:val="2"/>
          <w:lang w:eastAsia="hr-HR"/>
        </w:rPr>
        <w:t xml:space="preserve"> u iznosu od </w:t>
      </w:r>
      <w:r w:rsidR="00ED0161" w:rsidRPr="00ED0161">
        <w:rPr>
          <w:rFonts w:ascii="Arial" w:eastAsia="Times New Roman" w:hAnsi="Arial" w:cs="Arial"/>
          <w:kern w:val="2"/>
          <w:lang w:eastAsia="hr-HR"/>
        </w:rPr>
        <w:t>850.875,00</w:t>
      </w:r>
      <w:r w:rsidR="00ED0161">
        <w:rPr>
          <w:rFonts w:ascii="Arial" w:eastAsia="Times New Roman" w:hAnsi="Arial" w:cs="Arial"/>
          <w:kern w:val="2"/>
          <w:lang w:eastAsia="hr-HR"/>
        </w:rPr>
        <w:t xml:space="preserve"> </w:t>
      </w:r>
      <w:r w:rsidRPr="00A672C9">
        <w:rPr>
          <w:rFonts w:ascii="Arial" w:eastAsia="Times New Roman" w:hAnsi="Arial" w:cs="Arial"/>
          <w:kern w:val="2"/>
          <w:lang w:eastAsia="hr-HR"/>
        </w:rPr>
        <w:t xml:space="preserve">EUR koji se odnose na </w:t>
      </w:r>
      <w:r w:rsidR="003E3872">
        <w:rPr>
          <w:rFonts w:ascii="Arial" w:eastAsia="Times New Roman" w:hAnsi="Arial" w:cs="Arial"/>
          <w:kern w:val="2"/>
          <w:lang w:eastAsia="hr-HR"/>
        </w:rPr>
        <w:t xml:space="preserve">povrat </w:t>
      </w:r>
      <w:r w:rsidR="00A672C9" w:rsidRPr="00A672C9">
        <w:rPr>
          <w:rFonts w:ascii="Arial" w:eastAsia="Times New Roman" w:hAnsi="Arial" w:cs="Arial"/>
          <w:kern w:val="2"/>
          <w:lang w:eastAsia="hr-HR"/>
        </w:rPr>
        <w:t>kratkoročne pozajmice komunalno</w:t>
      </w:r>
      <w:r w:rsidR="003E3872">
        <w:rPr>
          <w:rFonts w:ascii="Arial" w:eastAsia="Times New Roman" w:hAnsi="Arial" w:cs="Arial"/>
          <w:kern w:val="2"/>
          <w:lang w:eastAsia="hr-HR"/>
        </w:rPr>
        <w:t>g</w:t>
      </w:r>
      <w:r w:rsidR="00A672C9" w:rsidRPr="00A672C9">
        <w:rPr>
          <w:rFonts w:ascii="Arial" w:eastAsia="Times New Roman" w:hAnsi="Arial" w:cs="Arial"/>
          <w:kern w:val="2"/>
          <w:lang w:eastAsia="hr-HR"/>
        </w:rPr>
        <w:t xml:space="preserve"> poduzeć</w:t>
      </w:r>
      <w:r w:rsidR="003E3872">
        <w:rPr>
          <w:rFonts w:ascii="Arial" w:eastAsia="Times New Roman" w:hAnsi="Arial" w:cs="Arial"/>
          <w:kern w:val="2"/>
          <w:lang w:eastAsia="hr-HR"/>
        </w:rPr>
        <w:t>a</w:t>
      </w:r>
      <w:r w:rsidR="00A672C9" w:rsidRPr="00A672C9">
        <w:rPr>
          <w:rFonts w:ascii="Arial" w:eastAsia="Times New Roman" w:hAnsi="Arial" w:cs="Arial"/>
          <w:kern w:val="2"/>
          <w:lang w:eastAsia="hr-HR"/>
        </w:rPr>
        <w:t xml:space="preserve"> Zeleni Seget</w:t>
      </w:r>
      <w:r w:rsidR="003E3872">
        <w:rPr>
          <w:rFonts w:ascii="Arial" w:eastAsia="Times New Roman" w:hAnsi="Arial" w:cs="Arial"/>
          <w:kern w:val="2"/>
          <w:lang w:eastAsia="hr-HR"/>
        </w:rPr>
        <w:t xml:space="preserve"> danih za nabavu komunalne opreme</w:t>
      </w:r>
      <w:r w:rsidRPr="00A672C9">
        <w:rPr>
          <w:rFonts w:ascii="Arial" w:eastAsia="Times New Roman" w:hAnsi="Arial" w:cs="Arial"/>
          <w:kern w:val="2"/>
          <w:lang w:eastAsia="hr-HR"/>
        </w:rPr>
        <w:t xml:space="preserve">. Planirani izdaci za financijsku imovinu i otplatu zajmova povećavaju se </w:t>
      </w:r>
      <w:r w:rsidRPr="00A672C9">
        <w:rPr>
          <w:rFonts w:ascii="Arial" w:eastAsia="Times New Roman" w:hAnsi="Arial" w:cs="Arial"/>
          <w:lang w:eastAsia="hr-HR"/>
        </w:rPr>
        <w:t xml:space="preserve">za </w:t>
      </w:r>
      <w:r w:rsidR="00375440" w:rsidRPr="00375440">
        <w:rPr>
          <w:rFonts w:ascii="Arial" w:eastAsia="Times New Roman" w:hAnsi="Arial" w:cs="Arial"/>
          <w:lang w:eastAsia="hr-HR"/>
        </w:rPr>
        <w:t>370.000,00</w:t>
      </w:r>
      <w:r w:rsidR="00375440">
        <w:rPr>
          <w:rFonts w:ascii="Arial" w:eastAsia="Times New Roman" w:hAnsi="Arial" w:cs="Arial"/>
          <w:lang w:eastAsia="hr-HR"/>
        </w:rPr>
        <w:t xml:space="preserve"> </w:t>
      </w:r>
      <w:r w:rsidRPr="00A672C9">
        <w:rPr>
          <w:rFonts w:ascii="Arial" w:eastAsia="Times New Roman" w:hAnsi="Arial" w:cs="Arial"/>
          <w:kern w:val="2"/>
          <w:lang w:eastAsia="hr-HR"/>
        </w:rPr>
        <w:t xml:space="preserve">EUR i ukupno iznose </w:t>
      </w:r>
      <w:r w:rsidR="00375440" w:rsidRPr="00375440">
        <w:rPr>
          <w:rFonts w:ascii="Arial" w:eastAsia="Times New Roman" w:hAnsi="Arial" w:cs="Arial"/>
          <w:kern w:val="2"/>
          <w:lang w:eastAsia="hr-HR"/>
        </w:rPr>
        <w:t>1.030.875,00</w:t>
      </w:r>
      <w:r w:rsidR="00375440">
        <w:rPr>
          <w:rFonts w:ascii="Arial" w:eastAsia="Times New Roman" w:hAnsi="Arial" w:cs="Arial"/>
          <w:kern w:val="2"/>
          <w:lang w:eastAsia="hr-HR"/>
        </w:rPr>
        <w:t xml:space="preserve"> </w:t>
      </w:r>
      <w:r w:rsidRPr="00A672C9">
        <w:rPr>
          <w:rFonts w:ascii="Arial" w:eastAsia="Times New Roman" w:hAnsi="Arial" w:cs="Arial"/>
          <w:kern w:val="2"/>
          <w:lang w:eastAsia="hr-HR"/>
        </w:rPr>
        <w:t>EUR</w:t>
      </w:r>
      <w:r w:rsidR="00A672C9">
        <w:rPr>
          <w:rFonts w:ascii="Arial" w:eastAsia="Times New Roman" w:hAnsi="Arial" w:cs="Arial"/>
          <w:kern w:val="2"/>
          <w:lang w:eastAsia="hr-HR"/>
        </w:rPr>
        <w:t xml:space="preserve"> od čega</w:t>
      </w:r>
      <w:r w:rsidR="00DE2575">
        <w:rPr>
          <w:rFonts w:ascii="Arial" w:eastAsia="Times New Roman" w:hAnsi="Arial" w:cs="Arial"/>
          <w:kern w:val="2"/>
          <w:lang w:eastAsia="hr-HR"/>
        </w:rPr>
        <w:t xml:space="preserve"> </w:t>
      </w:r>
      <w:r w:rsidR="006F20BF">
        <w:rPr>
          <w:rFonts w:ascii="Arial" w:eastAsia="Times New Roman" w:hAnsi="Arial" w:cs="Arial"/>
          <w:kern w:val="2"/>
          <w:lang w:eastAsia="hr-HR"/>
        </w:rPr>
        <w:t>18</w:t>
      </w:r>
      <w:r w:rsidR="009C0C74">
        <w:rPr>
          <w:rFonts w:ascii="Arial" w:eastAsia="Times New Roman" w:hAnsi="Arial" w:cs="Arial"/>
          <w:kern w:val="2"/>
          <w:lang w:eastAsia="hr-HR"/>
        </w:rPr>
        <w:t xml:space="preserve">0.000 EUR se odnosi na otplatu zajmova za </w:t>
      </w:r>
      <w:r w:rsidR="00D2120F">
        <w:rPr>
          <w:rFonts w:ascii="Arial" w:eastAsia="Times New Roman" w:hAnsi="Arial" w:cs="Arial"/>
          <w:kern w:val="2"/>
          <w:lang w:eastAsia="hr-HR"/>
        </w:rPr>
        <w:t xml:space="preserve">projekt energetske učinkovitosti </w:t>
      </w:r>
      <w:r w:rsidR="00175B3A">
        <w:rPr>
          <w:rFonts w:ascii="Arial" w:eastAsia="Times New Roman" w:hAnsi="Arial" w:cs="Arial"/>
          <w:kern w:val="2"/>
          <w:lang w:eastAsia="hr-HR"/>
        </w:rPr>
        <w:t xml:space="preserve">postavljanja LED rasvjete </w:t>
      </w:r>
      <w:r w:rsidR="00D2120F">
        <w:rPr>
          <w:rFonts w:ascii="Arial" w:eastAsia="Times New Roman" w:hAnsi="Arial" w:cs="Arial"/>
          <w:kern w:val="2"/>
          <w:lang w:eastAsia="hr-HR"/>
        </w:rPr>
        <w:t xml:space="preserve">a </w:t>
      </w:r>
      <w:r w:rsidR="00DE2575">
        <w:rPr>
          <w:rFonts w:ascii="Arial" w:eastAsia="Times New Roman" w:hAnsi="Arial" w:cs="Arial"/>
          <w:kern w:val="2"/>
          <w:lang w:eastAsia="hr-HR"/>
        </w:rPr>
        <w:t>8</w:t>
      </w:r>
      <w:r w:rsidR="00E657AC">
        <w:rPr>
          <w:rFonts w:ascii="Arial" w:eastAsia="Times New Roman" w:hAnsi="Arial" w:cs="Arial"/>
          <w:kern w:val="2"/>
          <w:lang w:eastAsia="hr-HR"/>
        </w:rPr>
        <w:t>5</w:t>
      </w:r>
      <w:r w:rsidR="00D2120F">
        <w:rPr>
          <w:rFonts w:ascii="Arial" w:eastAsia="Times New Roman" w:hAnsi="Arial" w:cs="Arial"/>
          <w:kern w:val="2"/>
          <w:lang w:eastAsia="hr-HR"/>
        </w:rPr>
        <w:t>0.875</w:t>
      </w:r>
      <w:r w:rsidR="00E657AC">
        <w:rPr>
          <w:rFonts w:ascii="Arial" w:eastAsia="Times New Roman" w:hAnsi="Arial" w:cs="Arial"/>
          <w:kern w:val="2"/>
          <w:lang w:eastAsia="hr-HR"/>
        </w:rPr>
        <w:t>,00</w:t>
      </w:r>
      <w:r w:rsidR="00D2120F">
        <w:rPr>
          <w:rFonts w:ascii="Arial" w:eastAsia="Times New Roman" w:hAnsi="Arial" w:cs="Arial"/>
          <w:kern w:val="2"/>
          <w:lang w:eastAsia="hr-HR"/>
        </w:rPr>
        <w:t xml:space="preserve"> se odnosi na dane </w:t>
      </w:r>
      <w:r w:rsidR="00903428">
        <w:rPr>
          <w:rFonts w:ascii="Arial" w:eastAsia="Times New Roman" w:hAnsi="Arial" w:cs="Arial"/>
          <w:kern w:val="2"/>
          <w:lang w:eastAsia="hr-HR"/>
        </w:rPr>
        <w:t xml:space="preserve">kratkoročne </w:t>
      </w:r>
      <w:r w:rsidR="00D2120F">
        <w:rPr>
          <w:rFonts w:ascii="Arial" w:eastAsia="Times New Roman" w:hAnsi="Arial" w:cs="Arial"/>
          <w:kern w:val="2"/>
          <w:lang w:eastAsia="hr-HR"/>
        </w:rPr>
        <w:t>zajmove</w:t>
      </w:r>
      <w:r w:rsidR="00175B3A">
        <w:rPr>
          <w:rFonts w:ascii="Arial" w:eastAsia="Times New Roman" w:hAnsi="Arial" w:cs="Arial"/>
          <w:kern w:val="2"/>
          <w:lang w:eastAsia="hr-HR"/>
        </w:rPr>
        <w:t xml:space="preserve"> komunalnom poduzeću </w:t>
      </w:r>
      <w:r w:rsidR="00903428">
        <w:rPr>
          <w:rFonts w:ascii="Arial" w:eastAsia="Times New Roman" w:hAnsi="Arial" w:cs="Arial"/>
          <w:kern w:val="2"/>
          <w:lang w:eastAsia="hr-HR"/>
        </w:rPr>
        <w:t>Zeleni Seget.</w:t>
      </w:r>
    </w:p>
    <w:p w14:paraId="558A6B56" w14:textId="77777777" w:rsidR="00125BCF" w:rsidRDefault="00125BCF" w:rsidP="00125BCF">
      <w:pPr>
        <w:spacing w:beforeAutospacing="1" w:afterAutospacing="1" w:line="240" w:lineRule="auto"/>
        <w:jc w:val="both"/>
        <w:rPr>
          <w:rFonts w:ascii="Arial" w:eastAsia="Times New Roman" w:hAnsi="Arial" w:cs="Arial"/>
          <w:kern w:val="2"/>
          <w:lang w:eastAsia="hr-HR"/>
        </w:rPr>
      </w:pPr>
      <w:r w:rsidRPr="00A91016">
        <w:rPr>
          <w:rFonts w:ascii="Arial" w:eastAsia="Times New Roman" w:hAnsi="Arial" w:cs="Arial"/>
          <w:kern w:val="2"/>
          <w:lang w:eastAsia="hr-HR"/>
        </w:rPr>
        <w:t xml:space="preserve">Sažetak </w:t>
      </w:r>
      <w:r w:rsidRPr="00A91016">
        <w:rPr>
          <w:rFonts w:ascii="Arial" w:eastAsia="Times New Roman" w:hAnsi="Arial" w:cs="Arial"/>
          <w:b/>
          <w:bCs/>
          <w:kern w:val="2"/>
          <w:lang w:eastAsia="hr-HR"/>
        </w:rPr>
        <w:t xml:space="preserve">C – Raspoloživa sredstva iz prethodnih godina </w:t>
      </w:r>
      <w:r w:rsidRPr="00A91016">
        <w:rPr>
          <w:rFonts w:ascii="Arial" w:eastAsia="Times New Roman" w:hAnsi="Arial" w:cs="Arial"/>
          <w:kern w:val="2"/>
          <w:lang w:eastAsia="hr-HR"/>
        </w:rPr>
        <w:t xml:space="preserve">prikazuje višak iz prethodne (2024. godine) u ukupnom iznosu od </w:t>
      </w:r>
      <w:r w:rsidRPr="00A91016">
        <w:rPr>
          <w:rFonts w:ascii="Arial" w:eastAsia="Times New Roman" w:hAnsi="Arial" w:cs="Arial"/>
          <w:b/>
          <w:bCs/>
          <w:kern w:val="2"/>
          <w:lang w:eastAsia="hr-HR"/>
        </w:rPr>
        <w:t xml:space="preserve">3.560.943,32 EUR </w:t>
      </w:r>
      <w:r w:rsidRPr="00A91016">
        <w:rPr>
          <w:rFonts w:ascii="Arial" w:eastAsia="Times New Roman" w:hAnsi="Arial" w:cs="Arial"/>
          <w:kern w:val="2"/>
          <w:lang w:eastAsia="hr-HR"/>
        </w:rPr>
        <w:t>koji je utvrđen godišnjim obračunom u konsolidiranim godišnjim financijskim izvještajima Općine Seget za 2024. godinu.</w:t>
      </w:r>
      <w:r>
        <w:rPr>
          <w:rFonts w:ascii="Arial" w:eastAsia="Times New Roman" w:hAnsi="Arial" w:cs="Arial"/>
          <w:kern w:val="2"/>
          <w:lang w:eastAsia="hr-HR"/>
        </w:rPr>
        <w:t xml:space="preserve"> </w:t>
      </w:r>
    </w:p>
    <w:p w14:paraId="65958EB0" w14:textId="77777777" w:rsidR="00125BCF" w:rsidRDefault="00125BCF" w:rsidP="00125BCF">
      <w:pPr>
        <w:pStyle w:val="Odlomakpopisa"/>
        <w:keepNext/>
        <w:keepLines/>
        <w:numPr>
          <w:ilvl w:val="1"/>
          <w:numId w:val="1"/>
        </w:numPr>
        <w:spacing w:before="40" w:after="0" w:line="240" w:lineRule="auto"/>
        <w:jc w:val="both"/>
        <w:outlineLvl w:val="1"/>
        <w:rPr>
          <w:rFonts w:ascii="Arial" w:eastAsia="Times New Roman" w:hAnsi="Arial" w:cs="Arial"/>
          <w:b/>
          <w:iCs/>
          <w:kern w:val="2"/>
          <w:lang w:eastAsia="hr-HR"/>
        </w:rPr>
      </w:pPr>
      <w:bookmarkStart w:id="3" w:name="_Toc118371153"/>
      <w:r>
        <w:rPr>
          <w:rFonts w:ascii="Arial" w:eastAsia="Times New Roman" w:hAnsi="Arial" w:cs="Arial"/>
          <w:b/>
          <w:iCs/>
          <w:kern w:val="2"/>
          <w:lang w:eastAsia="hr-HR"/>
        </w:rPr>
        <w:lastRenderedPageBreak/>
        <w:t>Račun prihoda i rashoda</w:t>
      </w:r>
      <w:bookmarkEnd w:id="3"/>
      <w:r>
        <w:rPr>
          <w:rFonts w:ascii="Arial" w:eastAsia="Times New Roman" w:hAnsi="Arial" w:cs="Arial"/>
          <w:b/>
          <w:iCs/>
          <w:kern w:val="2"/>
          <w:lang w:eastAsia="hr-HR"/>
        </w:rPr>
        <w:t>, primitaka i izdataka</w:t>
      </w:r>
    </w:p>
    <w:p w14:paraId="3F69A55F" w14:textId="77777777" w:rsidR="00ED212A" w:rsidRDefault="00ED212A" w:rsidP="00ED212A">
      <w:pPr>
        <w:pStyle w:val="Odlomakpopisa"/>
        <w:keepNext/>
        <w:keepLines/>
        <w:spacing w:before="40" w:after="0" w:line="240" w:lineRule="auto"/>
        <w:ind w:left="1080"/>
        <w:jc w:val="both"/>
        <w:outlineLvl w:val="1"/>
        <w:rPr>
          <w:rFonts w:ascii="Arial" w:eastAsia="Times New Roman" w:hAnsi="Arial" w:cs="Arial"/>
          <w:b/>
          <w:iCs/>
          <w:kern w:val="2"/>
          <w:lang w:eastAsia="hr-HR"/>
        </w:rPr>
      </w:pPr>
    </w:p>
    <w:p w14:paraId="71E25E9F" w14:textId="2DE53F31" w:rsidR="00125BCF" w:rsidRDefault="00125BCF" w:rsidP="00ED212A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  <w:r w:rsidRPr="00B65672">
        <w:rPr>
          <w:rFonts w:ascii="Arial" w:eastAsia="Times New Roman" w:hAnsi="Arial" w:cs="Arial"/>
          <w:bCs/>
          <w:kern w:val="2"/>
          <w:lang w:eastAsia="hr-HR"/>
        </w:rPr>
        <w:t>Račun prihoda i rashoda, primitaka i izdataka po ekonomskoj klasifikaciji predstavlja pregled prihoda i rashoda raspoređenih po određenoj vrsti i utvrđenoj namjeni, iskazanih na razini skupine računskog plana (2 razina računskog plana</w:t>
      </w:r>
      <w:r w:rsidR="006F20BF">
        <w:rPr>
          <w:rFonts w:ascii="Arial" w:eastAsia="Times New Roman" w:hAnsi="Arial" w:cs="Arial"/>
          <w:bCs/>
          <w:kern w:val="2"/>
          <w:lang w:eastAsia="hr-HR"/>
        </w:rPr>
        <w:t>)</w:t>
      </w:r>
      <w:r w:rsidR="00ED212A">
        <w:rPr>
          <w:rFonts w:ascii="Arial" w:eastAsia="Times New Roman" w:hAnsi="Arial" w:cs="Arial"/>
          <w:bCs/>
          <w:kern w:val="2"/>
          <w:lang w:eastAsia="hr-HR"/>
        </w:rPr>
        <w:t>.</w:t>
      </w:r>
    </w:p>
    <w:p w14:paraId="5CDCADCA" w14:textId="77777777" w:rsidR="0022165B" w:rsidRDefault="0022165B" w:rsidP="00ED212A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tbl>
      <w:tblPr>
        <w:tblW w:w="9515" w:type="dxa"/>
        <w:tblLook w:val="04A0" w:firstRow="1" w:lastRow="0" w:firstColumn="1" w:lastColumn="0" w:noHBand="0" w:noVBand="1"/>
      </w:tblPr>
      <w:tblGrid>
        <w:gridCol w:w="856"/>
        <w:gridCol w:w="3534"/>
        <w:gridCol w:w="1317"/>
        <w:gridCol w:w="1275"/>
        <w:gridCol w:w="1260"/>
        <w:gridCol w:w="1267"/>
        <w:gridCol w:w="6"/>
      </w:tblGrid>
      <w:tr w:rsidR="0035713A" w:rsidRPr="0022165B" w14:paraId="2D30407F" w14:textId="77777777" w:rsidTr="0035713A">
        <w:trPr>
          <w:gridAfter w:val="1"/>
          <w:wAfter w:w="6" w:type="dxa"/>
          <w:trHeight w:val="5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320BD83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2216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130A48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7E2EC5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D50167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A38AFC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2216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17B2B9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22165B" w:rsidRPr="0022165B" w14:paraId="06615E45" w14:textId="77777777" w:rsidTr="0035713A">
        <w:trPr>
          <w:trHeight w:val="264"/>
        </w:trPr>
        <w:tc>
          <w:tcPr>
            <w:tcW w:w="9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270115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22165B" w:rsidRPr="0022165B" w14:paraId="68EE0167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6A3629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ACAC77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614ED0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6.732.507,91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194586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-283.129,00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8CF5DA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-4.2%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C093AD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6.449.378,91</w:t>
            </w:r>
          </w:p>
        </w:tc>
      </w:tr>
      <w:tr w:rsidR="0022165B" w:rsidRPr="0022165B" w14:paraId="72D403B8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B70B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E6AF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783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2.944.354,94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384F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223E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5B7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2.994.354,94</w:t>
            </w:r>
          </w:p>
        </w:tc>
      </w:tr>
      <w:tr w:rsidR="0022165B" w:rsidRPr="0022165B" w14:paraId="6A28AA07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ABD8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5D00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B98B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1.168.663,96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DC9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-363.129,00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778D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-31.1%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4F3D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805.534,96</w:t>
            </w:r>
          </w:p>
        </w:tc>
      </w:tr>
      <w:tr w:rsidR="0022165B" w:rsidRPr="0022165B" w14:paraId="5933E08E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CAB3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0E0B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8DBE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578.390,68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9261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83B6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8.6%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82E1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628.390,68</w:t>
            </w:r>
          </w:p>
        </w:tc>
      </w:tr>
      <w:tr w:rsidR="0022165B" w:rsidRPr="0022165B" w14:paraId="263CF84A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9A3A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7977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8E43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2.041.098,33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9DD9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564A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2129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2.021.098,33</w:t>
            </w:r>
          </w:p>
        </w:tc>
      </w:tr>
      <w:tr w:rsidR="0022165B" w:rsidRPr="0022165B" w14:paraId="3A152F42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0DF2EC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2CF884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469CF1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FFC436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170C6E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F44B65E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480.000,00</w:t>
            </w:r>
          </w:p>
        </w:tc>
      </w:tr>
      <w:tr w:rsidR="0022165B" w:rsidRPr="0022165B" w14:paraId="4AC2F01E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BB3C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D8D9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neproizvedene</w:t>
            </w:r>
            <w:proofErr w:type="spellEnd"/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AD75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5D48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960E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7D8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22165B" w:rsidRPr="0022165B" w14:paraId="213EA654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8D76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A430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8160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4C11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FC53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AEF5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480.000,00</w:t>
            </w:r>
          </w:p>
        </w:tc>
      </w:tr>
      <w:tr w:rsidR="0022165B" w:rsidRPr="0022165B" w14:paraId="61506ADB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7FAD45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C271837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2D8E26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5.467.141,78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725CF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507.000,00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653783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9.3%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0F76E0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5.974.141,78</w:t>
            </w:r>
          </w:p>
        </w:tc>
      </w:tr>
      <w:tr w:rsidR="0022165B" w:rsidRPr="0022165B" w14:paraId="2D1F5243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3A95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5CF8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4CB8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1.416.400,00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F24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79EB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E40B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1.416.400,00</w:t>
            </w:r>
          </w:p>
        </w:tc>
      </w:tr>
      <w:tr w:rsidR="0022165B" w:rsidRPr="0022165B" w14:paraId="411AC872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AD22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AE32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7A86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2.223.334,78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2FA8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-228.000,00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3D1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-10.3%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54FB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1.995.334,78</w:t>
            </w:r>
          </w:p>
        </w:tc>
      </w:tr>
      <w:tr w:rsidR="0022165B" w:rsidRPr="0022165B" w14:paraId="51B9A83C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9E26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DE64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59DA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22.707,00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CA8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6EB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3BDF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22.707,00</w:t>
            </w:r>
          </w:p>
        </w:tc>
      </w:tr>
      <w:tr w:rsidR="0022165B" w:rsidRPr="0022165B" w14:paraId="412E8135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F7E9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97FC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7F6D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737A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0B5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106.2%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6098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1.340.000,00</w:t>
            </w:r>
          </w:p>
        </w:tc>
      </w:tr>
      <w:tr w:rsidR="0022165B" w:rsidRPr="0022165B" w14:paraId="1133BE90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ADDD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C86F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194D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63AF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F9B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5305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22165B" w:rsidRPr="0022165B" w14:paraId="005FC5B9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4254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43D8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793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563.500,00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A186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7628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8.9%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CCB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613.500,00</w:t>
            </w:r>
          </w:p>
        </w:tc>
      </w:tr>
      <w:tr w:rsidR="0022165B" w:rsidRPr="0022165B" w14:paraId="1438620E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03D3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A9A4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E7B3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581.200,00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7FE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1AB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-0.9%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532A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576.200,00</w:t>
            </w:r>
          </w:p>
        </w:tc>
      </w:tr>
      <w:tr w:rsidR="0022165B" w:rsidRPr="0022165B" w14:paraId="587B0CED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21666DC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74F378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1AD0B7F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5.036.309,45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9EFD39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-700.129,00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6557BC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-13.9%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E3B3F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4.336.180,45</w:t>
            </w:r>
          </w:p>
        </w:tc>
      </w:tr>
      <w:tr w:rsidR="0022165B" w:rsidRPr="0022165B" w14:paraId="2F019319" w14:textId="77777777" w:rsidTr="0035713A">
        <w:trPr>
          <w:gridAfter w:val="1"/>
          <w:wAfter w:w="6" w:type="dxa"/>
          <w:trHeight w:val="5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BAEA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5C2D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1AE5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5.036.309,45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7013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-700.129,00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5B2C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-13.9%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91C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4.336.180,45</w:t>
            </w:r>
          </w:p>
        </w:tc>
      </w:tr>
      <w:tr w:rsidR="0022165B" w:rsidRPr="0022165B" w14:paraId="23E1658C" w14:textId="77777777" w:rsidTr="0035713A">
        <w:trPr>
          <w:trHeight w:val="264"/>
        </w:trPr>
        <w:tc>
          <w:tcPr>
            <w:tcW w:w="9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74F4D4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ZADUŽIVANJA/FINANCIRANJA</w:t>
            </w:r>
          </w:p>
        </w:tc>
      </w:tr>
      <w:tr w:rsidR="0022165B" w:rsidRPr="0022165B" w14:paraId="10E5FDC5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01815B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9CC3D33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54AFC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390.875,00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E78456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CCAF6E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117.7%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730726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850.875,00</w:t>
            </w:r>
          </w:p>
        </w:tc>
      </w:tr>
      <w:tr w:rsidR="0022165B" w:rsidRPr="0022165B" w14:paraId="24F8B179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348C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D1BA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povrati glavnica danih zajmova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918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DFE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52D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117.7%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1B1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850.875,00</w:t>
            </w:r>
          </w:p>
        </w:tc>
      </w:tr>
      <w:tr w:rsidR="0022165B" w:rsidRPr="0022165B" w14:paraId="329F6ABF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3550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2D68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C5A0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529C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E91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D698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22165B" w:rsidRPr="0022165B" w14:paraId="5B6BBA61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8CEFFF3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83DC999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6BAE86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660.875,00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F133081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E38BF4C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0F98F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1.030.875,00</w:t>
            </w:r>
          </w:p>
        </w:tc>
      </w:tr>
      <w:tr w:rsidR="0022165B" w:rsidRPr="0022165B" w14:paraId="001D5139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1140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A150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za dane zajmove i </w:t>
            </w:r>
            <w:proofErr w:type="spellStart"/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jamčevne</w:t>
            </w:r>
            <w:proofErr w:type="spellEnd"/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pologe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447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713A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C2C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76.9%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CD6A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850.875,00</w:t>
            </w:r>
          </w:p>
        </w:tc>
      </w:tr>
      <w:tr w:rsidR="0022165B" w:rsidRPr="0022165B" w14:paraId="53C9931A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B8F7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E3F4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D20C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D7FF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2FF9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313C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180.000,00</w:t>
            </w:r>
          </w:p>
        </w:tc>
      </w:tr>
      <w:tr w:rsidR="0022165B" w:rsidRPr="0022165B" w14:paraId="35F35D71" w14:textId="77777777" w:rsidTr="0035713A">
        <w:trPr>
          <w:trHeight w:val="264"/>
        </w:trPr>
        <w:tc>
          <w:tcPr>
            <w:tcW w:w="9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1D3125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</w:tr>
      <w:tr w:rsidR="0022165B" w:rsidRPr="0022165B" w14:paraId="5DC1592C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547B69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0F504C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8855B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3.560.943,32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4C383A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A15C324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FEC0D27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3.560.943,32</w:t>
            </w:r>
          </w:p>
        </w:tc>
      </w:tr>
      <w:tr w:rsidR="0022165B" w:rsidRPr="0022165B" w14:paraId="4768B60A" w14:textId="77777777" w:rsidTr="0035713A">
        <w:trPr>
          <w:gridAfter w:val="1"/>
          <w:wAfter w:w="6" w:type="dxa"/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DC2D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9978" w14:textId="77777777" w:rsidR="0022165B" w:rsidRPr="0022165B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5263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3.560.943,32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3F82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4A20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8511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2165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3.560.943,32</w:t>
            </w:r>
          </w:p>
        </w:tc>
      </w:tr>
    </w:tbl>
    <w:p w14:paraId="4D145F56" w14:textId="77777777" w:rsidR="0083142F" w:rsidRDefault="0083142F">
      <w:pPr>
        <w:spacing w:after="0"/>
        <w:jc w:val="both"/>
        <w:rPr>
          <w:rFonts w:ascii="Arial" w:hAnsi="Arial" w:cs="Arial"/>
          <w:b/>
        </w:rPr>
      </w:pPr>
    </w:p>
    <w:p w14:paraId="74B279B5" w14:textId="3DCCA217" w:rsidR="006A673F" w:rsidRDefault="00B017F1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017F1">
        <w:rPr>
          <w:rFonts w:ascii="Arial" w:hAnsi="Arial" w:cs="Arial"/>
          <w:b/>
          <w:sz w:val="18"/>
          <w:szCs w:val="18"/>
        </w:rPr>
        <w:t xml:space="preserve">Tablica </w:t>
      </w:r>
      <w:r>
        <w:rPr>
          <w:rFonts w:ascii="Arial" w:hAnsi="Arial" w:cs="Arial"/>
          <w:b/>
          <w:sz w:val="18"/>
          <w:szCs w:val="18"/>
        </w:rPr>
        <w:t>2</w:t>
      </w:r>
      <w:r w:rsidRPr="00B017F1">
        <w:rPr>
          <w:rFonts w:ascii="Arial" w:hAnsi="Arial" w:cs="Arial"/>
          <w:b/>
          <w:sz w:val="18"/>
          <w:szCs w:val="18"/>
        </w:rPr>
        <w:t>. Prihodi, rashodi, primitci i izdaci</w:t>
      </w:r>
    </w:p>
    <w:p w14:paraId="7D0CE42C" w14:textId="77777777" w:rsidR="0035713A" w:rsidRDefault="0035713A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57920D" w14:textId="77777777" w:rsidR="0035713A" w:rsidRDefault="0035713A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0655CE3" w14:textId="77777777" w:rsidR="0035713A" w:rsidRDefault="0035713A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9873FD3" w14:textId="77777777" w:rsidR="0022165B" w:rsidRPr="00B017F1" w:rsidRDefault="0022165B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6F16F22" w14:textId="77777777" w:rsidR="00F90C99" w:rsidRDefault="00F90C99" w:rsidP="00F90C99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  <w:r>
        <w:rPr>
          <w:rFonts w:ascii="Arial" w:eastAsia="Times New Roman" w:hAnsi="Arial" w:cs="Arial"/>
          <w:b/>
          <w:kern w:val="2"/>
          <w:lang w:eastAsia="hr-HR"/>
        </w:rPr>
        <w:lastRenderedPageBreak/>
        <w:t>1.1.1. Ukupni prihodi i primici</w:t>
      </w:r>
    </w:p>
    <w:p w14:paraId="57414BB5" w14:textId="77777777" w:rsidR="00F90C99" w:rsidRDefault="00F90C99" w:rsidP="00F90C99">
      <w:pPr>
        <w:spacing w:after="0" w:line="240" w:lineRule="auto"/>
        <w:jc w:val="both"/>
        <w:rPr>
          <w:rFonts w:ascii="Arial" w:eastAsia="Times New Roman" w:hAnsi="Arial" w:cs="Arial"/>
          <w:kern w:val="2"/>
          <w:lang w:eastAsia="hr-HR"/>
        </w:rPr>
      </w:pPr>
    </w:p>
    <w:p w14:paraId="7F024F38" w14:textId="0B8DD5E3" w:rsidR="00F90C99" w:rsidRDefault="00F90C99" w:rsidP="00F90C99">
      <w:pPr>
        <w:spacing w:after="0"/>
        <w:jc w:val="both"/>
        <w:rPr>
          <w:rFonts w:ascii="Arial" w:eastAsia="Times New Roman" w:hAnsi="Arial" w:cs="Arial"/>
          <w:kern w:val="2"/>
          <w:lang w:eastAsia="hr-HR"/>
        </w:rPr>
      </w:pPr>
      <w:r w:rsidRPr="00B0354E">
        <w:rPr>
          <w:rFonts w:ascii="Arial" w:eastAsia="Times New Roman" w:hAnsi="Arial" w:cs="Arial"/>
          <w:kern w:val="2"/>
          <w:lang w:eastAsia="hr-HR"/>
        </w:rPr>
        <w:t xml:space="preserve">Ukupni prihodi </w:t>
      </w:r>
      <w:r>
        <w:rPr>
          <w:rFonts w:ascii="Arial" w:eastAsia="Times New Roman" w:hAnsi="Arial" w:cs="Arial"/>
          <w:kern w:val="2"/>
          <w:lang w:eastAsia="hr-HR"/>
        </w:rPr>
        <w:t xml:space="preserve">i primici 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planirani u </w:t>
      </w:r>
      <w:r w:rsidR="009D73ED">
        <w:rPr>
          <w:rFonts w:ascii="Arial" w:eastAsia="Times New Roman" w:hAnsi="Arial" w:cs="Arial"/>
          <w:b/>
          <w:bCs/>
          <w:kern w:val="2"/>
          <w:lang w:eastAsia="hr-HR"/>
        </w:rPr>
        <w:t>II</w:t>
      </w:r>
      <w:r w:rsidRPr="00B0354E">
        <w:rPr>
          <w:rFonts w:ascii="Arial" w:eastAsia="Times New Roman" w:hAnsi="Arial" w:cs="Arial"/>
          <w:b/>
          <w:bCs/>
          <w:kern w:val="2"/>
          <w:lang w:eastAsia="hr-HR"/>
        </w:rPr>
        <w:t>. izmjenama i dopunama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 proračuna Općine Seget za 202</w:t>
      </w:r>
      <w:r w:rsidR="00A91016">
        <w:rPr>
          <w:rFonts w:ascii="Arial" w:eastAsia="Times New Roman" w:hAnsi="Arial" w:cs="Arial"/>
          <w:kern w:val="2"/>
          <w:lang w:eastAsia="hr-HR"/>
        </w:rPr>
        <w:t>5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. godinu iznose </w:t>
      </w:r>
      <w:r w:rsidR="0092569E" w:rsidRPr="0092569E">
        <w:rPr>
          <w:rFonts w:ascii="Arial" w:eastAsia="Times New Roman" w:hAnsi="Arial" w:cs="Arial"/>
          <w:b/>
          <w:bCs/>
          <w:kern w:val="2"/>
          <w:lang w:eastAsia="hr-HR"/>
        </w:rPr>
        <w:t>7.780.253,91</w:t>
      </w:r>
      <w:r w:rsidR="0092569E">
        <w:rPr>
          <w:rFonts w:ascii="Arial" w:eastAsia="Times New Roman" w:hAnsi="Arial" w:cs="Arial"/>
          <w:b/>
          <w:bCs/>
          <w:kern w:val="2"/>
          <w:lang w:eastAsia="hr-HR"/>
        </w:rPr>
        <w:t xml:space="preserve"> </w:t>
      </w:r>
      <w:r w:rsidRPr="00535783">
        <w:rPr>
          <w:rFonts w:ascii="Arial" w:eastAsia="Times New Roman" w:hAnsi="Arial" w:cs="Arial"/>
          <w:kern w:val="2"/>
          <w:lang w:eastAsia="hr-HR"/>
        </w:rPr>
        <w:t>EUR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 i odnose se na </w:t>
      </w:r>
      <w:r w:rsidRPr="00535783">
        <w:rPr>
          <w:rFonts w:ascii="Arial" w:eastAsia="Times New Roman" w:hAnsi="Arial" w:cs="Arial"/>
          <w:kern w:val="2"/>
          <w:lang w:eastAsia="hr-HR"/>
        </w:rPr>
        <w:t xml:space="preserve">prihode poslovanja u iznosu od </w:t>
      </w:r>
      <w:r w:rsidR="000413CF" w:rsidRPr="000413CF">
        <w:rPr>
          <w:rFonts w:ascii="Arial" w:eastAsia="Times New Roman" w:hAnsi="Arial" w:cs="Arial"/>
          <w:b/>
          <w:bCs/>
          <w:kern w:val="2"/>
          <w:lang w:eastAsia="hr-HR"/>
        </w:rPr>
        <w:t>6.449.378,91</w:t>
      </w:r>
      <w:r w:rsidR="000413CF">
        <w:rPr>
          <w:rFonts w:ascii="Arial" w:eastAsia="Times New Roman" w:hAnsi="Arial" w:cs="Arial"/>
          <w:b/>
          <w:bCs/>
          <w:kern w:val="2"/>
          <w:lang w:eastAsia="hr-HR"/>
        </w:rPr>
        <w:t xml:space="preserve"> </w:t>
      </w:r>
      <w:r w:rsidRPr="00535783">
        <w:rPr>
          <w:rFonts w:ascii="Arial" w:eastAsia="Times New Roman" w:hAnsi="Arial" w:cs="Arial"/>
          <w:kern w:val="2"/>
          <w:lang w:eastAsia="hr-HR"/>
        </w:rPr>
        <w:t xml:space="preserve">EUR i prihode od prodaje nefinancijske imovine u iznosu od </w:t>
      </w:r>
      <w:r w:rsidR="00F50E34" w:rsidRPr="00F50E34">
        <w:rPr>
          <w:rFonts w:ascii="Arial" w:eastAsia="Times New Roman" w:hAnsi="Arial" w:cs="Arial"/>
          <w:b/>
          <w:bCs/>
          <w:kern w:val="2"/>
          <w:lang w:eastAsia="hr-HR"/>
        </w:rPr>
        <w:t>4</w:t>
      </w:r>
      <w:r w:rsidRPr="00535783">
        <w:rPr>
          <w:rFonts w:ascii="Arial" w:eastAsia="Times New Roman" w:hAnsi="Arial" w:cs="Arial"/>
          <w:b/>
          <w:bCs/>
          <w:kern w:val="2"/>
          <w:lang w:eastAsia="hr-HR"/>
        </w:rPr>
        <w:t>80.000,00</w:t>
      </w:r>
      <w:r w:rsidRPr="00535783">
        <w:rPr>
          <w:rFonts w:ascii="Arial" w:eastAsia="Times New Roman" w:hAnsi="Arial" w:cs="Arial"/>
          <w:kern w:val="2"/>
          <w:lang w:eastAsia="hr-HR"/>
        </w:rPr>
        <w:t xml:space="preserve"> EUR</w:t>
      </w:r>
      <w:r w:rsidR="00F86F0E" w:rsidRPr="00535783">
        <w:rPr>
          <w:rFonts w:ascii="Arial" w:eastAsia="Times New Roman" w:hAnsi="Arial" w:cs="Arial"/>
          <w:kern w:val="2"/>
          <w:lang w:eastAsia="hr-HR"/>
        </w:rPr>
        <w:t xml:space="preserve"> </w:t>
      </w:r>
      <w:r w:rsidR="004E31D2">
        <w:rPr>
          <w:rFonts w:ascii="Arial" w:eastAsia="Times New Roman" w:hAnsi="Arial" w:cs="Arial"/>
          <w:kern w:val="2"/>
          <w:lang w:eastAsia="hr-HR"/>
        </w:rPr>
        <w:t xml:space="preserve">u obliku prihoda od </w:t>
      </w:r>
      <w:r w:rsidR="00F86F0E" w:rsidRPr="00535783">
        <w:rPr>
          <w:rFonts w:ascii="Arial" w:eastAsia="Times New Roman" w:hAnsi="Arial" w:cs="Arial"/>
          <w:kern w:val="2"/>
          <w:lang w:eastAsia="hr-HR"/>
        </w:rPr>
        <w:t>prodaje grobnih mjest</w:t>
      </w:r>
      <w:r w:rsidR="003000D0">
        <w:rPr>
          <w:rFonts w:ascii="Arial" w:eastAsia="Times New Roman" w:hAnsi="Arial" w:cs="Arial"/>
          <w:kern w:val="2"/>
          <w:lang w:eastAsia="hr-HR"/>
        </w:rPr>
        <w:t>a</w:t>
      </w:r>
      <w:r w:rsidRPr="00535783">
        <w:rPr>
          <w:rFonts w:ascii="Arial" w:eastAsia="Times New Roman" w:hAnsi="Arial" w:cs="Arial"/>
          <w:kern w:val="2"/>
          <w:lang w:eastAsia="hr-HR"/>
        </w:rPr>
        <w:t xml:space="preserve">. Ukupni primici proračuna iznose </w:t>
      </w:r>
      <w:r w:rsidR="003D3977" w:rsidRPr="003D3977">
        <w:rPr>
          <w:rFonts w:ascii="Arial" w:eastAsia="Times New Roman" w:hAnsi="Arial" w:cs="Arial"/>
          <w:b/>
          <w:bCs/>
          <w:kern w:val="2"/>
          <w:lang w:eastAsia="hr-HR"/>
        </w:rPr>
        <w:t>850.875,00</w:t>
      </w:r>
      <w:r w:rsidR="003D3977">
        <w:rPr>
          <w:rFonts w:ascii="Arial" w:eastAsia="Times New Roman" w:hAnsi="Arial" w:cs="Arial"/>
          <w:b/>
          <w:bCs/>
          <w:kern w:val="2"/>
          <w:lang w:eastAsia="hr-HR"/>
        </w:rPr>
        <w:t xml:space="preserve"> </w:t>
      </w:r>
      <w:r w:rsidRPr="00535783">
        <w:rPr>
          <w:rFonts w:ascii="Arial" w:eastAsia="Times New Roman" w:hAnsi="Arial" w:cs="Arial"/>
          <w:kern w:val="2"/>
          <w:lang w:eastAsia="hr-HR"/>
        </w:rPr>
        <w:t xml:space="preserve">EUR i odnose se na </w:t>
      </w:r>
      <w:r w:rsidR="00535783" w:rsidRPr="00535783">
        <w:rPr>
          <w:rFonts w:ascii="Arial" w:eastAsia="Times New Roman" w:hAnsi="Arial" w:cs="Arial"/>
          <w:kern w:val="2"/>
          <w:lang w:eastAsia="hr-HR"/>
        </w:rPr>
        <w:t>povrat pozajmice komunalno</w:t>
      </w:r>
      <w:r w:rsidR="003000D0">
        <w:rPr>
          <w:rFonts w:ascii="Arial" w:eastAsia="Times New Roman" w:hAnsi="Arial" w:cs="Arial"/>
          <w:kern w:val="2"/>
          <w:lang w:eastAsia="hr-HR"/>
        </w:rPr>
        <w:t>g</w:t>
      </w:r>
      <w:r w:rsidR="00535783" w:rsidRPr="00535783">
        <w:rPr>
          <w:rFonts w:ascii="Arial" w:eastAsia="Times New Roman" w:hAnsi="Arial" w:cs="Arial"/>
          <w:kern w:val="2"/>
          <w:lang w:eastAsia="hr-HR"/>
        </w:rPr>
        <w:t xml:space="preserve"> poduzeć</w:t>
      </w:r>
      <w:r w:rsidR="003000D0">
        <w:rPr>
          <w:rFonts w:ascii="Arial" w:eastAsia="Times New Roman" w:hAnsi="Arial" w:cs="Arial"/>
          <w:kern w:val="2"/>
          <w:lang w:eastAsia="hr-HR"/>
        </w:rPr>
        <w:t xml:space="preserve">a </w:t>
      </w:r>
      <w:r w:rsidR="00535783" w:rsidRPr="00535783">
        <w:rPr>
          <w:rFonts w:ascii="Arial" w:eastAsia="Times New Roman" w:hAnsi="Arial" w:cs="Arial"/>
          <w:kern w:val="2"/>
          <w:lang w:eastAsia="hr-HR"/>
        </w:rPr>
        <w:t>Zeleni Seget.</w:t>
      </w:r>
    </w:p>
    <w:p w14:paraId="16A609D6" w14:textId="77777777" w:rsidR="00F90C99" w:rsidRDefault="00F90C99" w:rsidP="00F90C99">
      <w:pPr>
        <w:spacing w:beforeAutospacing="1" w:afterAutospacing="1"/>
        <w:jc w:val="both"/>
        <w:rPr>
          <w:rFonts w:ascii="Arial" w:eastAsia="Times New Roman" w:hAnsi="Arial" w:cs="Arial"/>
          <w:kern w:val="2"/>
          <w:lang w:eastAsia="hr-HR"/>
        </w:rPr>
      </w:pPr>
      <w:r>
        <w:rPr>
          <w:rFonts w:ascii="Arial" w:eastAsia="Times New Roman" w:hAnsi="Arial" w:cs="Arial"/>
          <w:b/>
          <w:bCs/>
          <w:kern w:val="2"/>
          <w:lang w:eastAsia="hr-HR"/>
        </w:rPr>
        <w:t xml:space="preserve">Prihodi poslovanja </w:t>
      </w:r>
      <w:r>
        <w:rPr>
          <w:rFonts w:ascii="Arial" w:eastAsia="Times New Roman" w:hAnsi="Arial" w:cs="Arial"/>
          <w:kern w:val="2"/>
          <w:lang w:eastAsia="hr-HR"/>
        </w:rPr>
        <w:t xml:space="preserve">odnose se na prihode od poreza, pomoći iz inozemstva i od subjekata unutar općeg proračuna, prihode od imovine, prihode od upravnih i administrativnih pristojbi, pristojbi po posebnim propisima, prihoda od naknada, od prodaje proizvoda i pruženih usluga, prihode od donacija, kazni i ostale prihode. </w:t>
      </w:r>
      <w:r>
        <w:rPr>
          <w:rFonts w:ascii="Arial" w:eastAsia="Times New Roman" w:hAnsi="Arial" w:cs="Arial"/>
          <w:b/>
          <w:bCs/>
          <w:kern w:val="2"/>
          <w:lang w:eastAsia="hr-HR"/>
        </w:rPr>
        <w:t xml:space="preserve">Prihodi od prodaje nefinancijske imovine </w:t>
      </w:r>
      <w:r>
        <w:rPr>
          <w:rFonts w:ascii="Arial" w:eastAsia="Times New Roman" w:hAnsi="Arial" w:cs="Arial"/>
          <w:kern w:val="2"/>
          <w:lang w:eastAsia="hr-HR"/>
        </w:rPr>
        <w:t>odnose se na prihode od prodaje imovine u vlasništvu Općine Seget.</w:t>
      </w:r>
    </w:p>
    <w:p w14:paraId="7AD41F32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kern w:val="2"/>
          <w:lang w:eastAsia="hr-HR"/>
        </w:rPr>
      </w:pPr>
      <w:r>
        <w:rPr>
          <w:rFonts w:ascii="Arial" w:eastAsia="Times New Roman" w:hAnsi="Arial" w:cs="Arial"/>
          <w:kern w:val="2"/>
          <w:lang w:eastAsia="hr-HR"/>
        </w:rPr>
        <w:t xml:space="preserve">Prihodi i primici raspoređeni su po određenoj vrsti i utvrđenoj namjeni na razini </w:t>
      </w:r>
      <w:r>
        <w:rPr>
          <w:rFonts w:ascii="Arial" w:eastAsia="Times New Roman" w:hAnsi="Arial" w:cs="Arial"/>
          <w:b/>
          <w:bCs/>
          <w:kern w:val="2"/>
          <w:lang w:eastAsia="hr-HR"/>
        </w:rPr>
        <w:t xml:space="preserve">skupine </w:t>
      </w:r>
      <w:r>
        <w:rPr>
          <w:rFonts w:ascii="Arial" w:eastAsia="Times New Roman" w:hAnsi="Arial" w:cs="Arial"/>
          <w:kern w:val="2"/>
          <w:lang w:eastAsia="hr-HR"/>
        </w:rPr>
        <w:t>računskog plana (2 razina računskog plana).</w:t>
      </w:r>
    </w:p>
    <w:p w14:paraId="0BF2A737" w14:textId="77777777" w:rsidR="00F90C99" w:rsidRDefault="00F90C99" w:rsidP="00F90C99">
      <w:pPr>
        <w:spacing w:after="0"/>
        <w:jc w:val="both"/>
        <w:rPr>
          <w:rFonts w:ascii="Arial" w:hAnsi="Arial" w:cs="Arial"/>
        </w:rPr>
      </w:pPr>
    </w:p>
    <w:p w14:paraId="77059183" w14:textId="77777777" w:rsidR="00F90C99" w:rsidRDefault="00F90C99" w:rsidP="00F90C99">
      <w:pPr>
        <w:keepNext/>
        <w:keepLines/>
        <w:spacing w:before="40" w:after="0"/>
        <w:jc w:val="both"/>
        <w:outlineLvl w:val="1"/>
        <w:rPr>
          <w:rFonts w:ascii="Arial" w:eastAsia="Times New Roman" w:hAnsi="Arial" w:cs="Arial"/>
          <w:b/>
          <w:bCs/>
          <w:kern w:val="2"/>
          <w:lang w:eastAsia="hr-HR"/>
        </w:rPr>
      </w:pPr>
      <w:bookmarkStart w:id="4" w:name="_Toc87885886"/>
      <w:bookmarkStart w:id="5" w:name="_Toc118371154"/>
      <w:r>
        <w:rPr>
          <w:rFonts w:ascii="Arial" w:eastAsia="Times New Roman" w:hAnsi="Arial" w:cs="Arial"/>
          <w:b/>
          <w:bCs/>
          <w:kern w:val="2"/>
          <w:lang w:eastAsia="hr-HR"/>
        </w:rPr>
        <w:t xml:space="preserve">1.1.2. </w:t>
      </w:r>
      <w:bookmarkEnd w:id="4"/>
      <w:bookmarkEnd w:id="5"/>
      <w:r>
        <w:rPr>
          <w:rFonts w:ascii="Arial" w:eastAsia="Times New Roman" w:hAnsi="Arial" w:cs="Arial"/>
          <w:b/>
          <w:bCs/>
          <w:kern w:val="2"/>
          <w:lang w:eastAsia="hr-HR"/>
        </w:rPr>
        <w:t>Ukupni rashodi i izdaci</w:t>
      </w:r>
    </w:p>
    <w:p w14:paraId="2BAC590F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kern w:val="2"/>
          <w:lang w:eastAsia="hr-HR"/>
        </w:rPr>
      </w:pPr>
    </w:p>
    <w:p w14:paraId="0DE161B4" w14:textId="17F6B1E9" w:rsidR="00F90C99" w:rsidRDefault="00F90C99" w:rsidP="00F90C99">
      <w:pPr>
        <w:spacing w:after="0"/>
        <w:jc w:val="both"/>
        <w:rPr>
          <w:rFonts w:ascii="Arial" w:hAnsi="Arial" w:cs="Arial"/>
          <w:b/>
          <w:bCs/>
        </w:rPr>
      </w:pPr>
      <w:r w:rsidRPr="001614BF">
        <w:rPr>
          <w:rFonts w:ascii="Arial" w:hAnsi="Arial" w:cs="Arial"/>
        </w:rPr>
        <w:t>Ukupni rashodi i izdaci planirani u I</w:t>
      </w:r>
      <w:r w:rsidR="0096651D">
        <w:rPr>
          <w:rFonts w:ascii="Arial" w:hAnsi="Arial" w:cs="Arial"/>
        </w:rPr>
        <w:t>I</w:t>
      </w:r>
      <w:r w:rsidRPr="001614BF">
        <w:rPr>
          <w:rFonts w:ascii="Arial" w:hAnsi="Arial" w:cs="Arial"/>
        </w:rPr>
        <w:t>. Izmjenama i dopunama proračuna Općine Seget za 202</w:t>
      </w:r>
      <w:r>
        <w:rPr>
          <w:rFonts w:ascii="Arial" w:hAnsi="Arial" w:cs="Arial"/>
        </w:rPr>
        <w:t>5</w:t>
      </w:r>
      <w:r w:rsidRPr="001614BF">
        <w:rPr>
          <w:rFonts w:ascii="Arial" w:hAnsi="Arial" w:cs="Arial"/>
        </w:rPr>
        <w:t xml:space="preserve"> godinu </w:t>
      </w:r>
      <w:r w:rsidRPr="00F23C34">
        <w:rPr>
          <w:rFonts w:ascii="Arial" w:hAnsi="Arial" w:cs="Arial"/>
        </w:rPr>
        <w:t>iznose</w:t>
      </w:r>
      <w:r w:rsidRPr="00F23C34">
        <w:rPr>
          <w:rFonts w:ascii="Arial" w:hAnsi="Arial" w:cs="Arial"/>
          <w:b/>
          <w:bCs/>
        </w:rPr>
        <w:t xml:space="preserve"> </w:t>
      </w:r>
      <w:r w:rsidR="00F5499B" w:rsidRPr="00F5499B">
        <w:rPr>
          <w:rFonts w:ascii="Arial" w:hAnsi="Arial" w:cs="Arial"/>
          <w:b/>
          <w:bCs/>
        </w:rPr>
        <w:t>11.341.197,23</w:t>
      </w:r>
      <w:r w:rsidR="00F5499B">
        <w:rPr>
          <w:rFonts w:ascii="Arial" w:hAnsi="Arial" w:cs="Arial"/>
          <w:b/>
          <w:bCs/>
        </w:rPr>
        <w:t xml:space="preserve"> </w:t>
      </w:r>
      <w:r w:rsidRPr="00F23C34">
        <w:rPr>
          <w:rFonts w:ascii="Arial" w:hAnsi="Arial" w:cs="Arial"/>
          <w:b/>
          <w:bCs/>
        </w:rPr>
        <w:t>EUR</w:t>
      </w:r>
      <w:r>
        <w:rPr>
          <w:rFonts w:ascii="Arial" w:hAnsi="Arial" w:cs="Arial"/>
          <w:b/>
          <w:bCs/>
        </w:rPr>
        <w:t xml:space="preserve"> </w:t>
      </w:r>
      <w:r w:rsidRPr="001614BF">
        <w:rPr>
          <w:rFonts w:ascii="Arial" w:hAnsi="Arial" w:cs="Arial"/>
        </w:rPr>
        <w:t>i odnose se na</w:t>
      </w:r>
      <w:r>
        <w:rPr>
          <w:rFonts w:ascii="Arial" w:hAnsi="Arial" w:cs="Arial"/>
          <w:b/>
          <w:bCs/>
        </w:rPr>
        <w:t xml:space="preserve"> </w:t>
      </w:r>
      <w:r w:rsidRPr="00C36FC3">
        <w:rPr>
          <w:rFonts w:ascii="Arial" w:hAnsi="Arial" w:cs="Arial"/>
        </w:rPr>
        <w:t>rashode poslovanja u iznosu od</w:t>
      </w:r>
      <w:r>
        <w:rPr>
          <w:rFonts w:ascii="Arial" w:hAnsi="Arial" w:cs="Arial"/>
          <w:b/>
          <w:bCs/>
        </w:rPr>
        <w:t xml:space="preserve"> </w:t>
      </w:r>
      <w:r w:rsidR="0089347D" w:rsidRPr="0089347D">
        <w:rPr>
          <w:rFonts w:ascii="Arial" w:hAnsi="Arial" w:cs="Arial"/>
          <w:b/>
          <w:bCs/>
        </w:rPr>
        <w:t>5.974.141,78</w:t>
      </w:r>
      <w:r w:rsidR="008934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EUR </w:t>
      </w:r>
      <w:r w:rsidRPr="003E33E4">
        <w:rPr>
          <w:rFonts w:ascii="Arial" w:hAnsi="Arial" w:cs="Arial"/>
        </w:rPr>
        <w:t xml:space="preserve">i rashode za nabavu nefinancijske imovine u iznosu </w:t>
      </w:r>
      <w:r w:rsidRPr="006B3FA8">
        <w:rPr>
          <w:rFonts w:ascii="Arial" w:hAnsi="Arial" w:cs="Arial"/>
        </w:rPr>
        <w:t>od</w:t>
      </w:r>
      <w:r w:rsidRPr="006B3FA8">
        <w:rPr>
          <w:rFonts w:ascii="Arial" w:hAnsi="Arial" w:cs="Arial"/>
          <w:b/>
          <w:bCs/>
        </w:rPr>
        <w:t xml:space="preserve"> </w:t>
      </w:r>
      <w:r w:rsidR="0089347D" w:rsidRPr="0089347D">
        <w:rPr>
          <w:rFonts w:ascii="Arial" w:hAnsi="Arial" w:cs="Arial"/>
          <w:b/>
          <w:bCs/>
        </w:rPr>
        <w:t>4.336.180,45</w:t>
      </w:r>
      <w:r w:rsidR="0089347D">
        <w:rPr>
          <w:rFonts w:ascii="Arial" w:hAnsi="Arial" w:cs="Arial"/>
          <w:b/>
          <w:bCs/>
        </w:rPr>
        <w:t xml:space="preserve"> </w:t>
      </w:r>
      <w:r w:rsidR="1149C303" w:rsidRPr="1149C303">
        <w:rPr>
          <w:rFonts w:ascii="Arial" w:hAnsi="Arial" w:cs="Arial"/>
          <w:b/>
          <w:bCs/>
        </w:rPr>
        <w:t>EUR.</w:t>
      </w:r>
      <w:r>
        <w:rPr>
          <w:rFonts w:ascii="Arial" w:hAnsi="Arial" w:cs="Arial"/>
          <w:b/>
          <w:bCs/>
        </w:rPr>
        <w:t xml:space="preserve"> </w:t>
      </w:r>
      <w:r w:rsidRPr="006A0C8C">
        <w:rPr>
          <w:rFonts w:ascii="Arial" w:hAnsi="Arial" w:cs="Arial"/>
        </w:rPr>
        <w:t>Izdaci za financijsku imovinu i otplate zajmova iznose</w:t>
      </w:r>
      <w:r>
        <w:rPr>
          <w:rFonts w:ascii="Arial" w:hAnsi="Arial" w:cs="Arial"/>
          <w:b/>
          <w:bCs/>
        </w:rPr>
        <w:t xml:space="preserve"> </w:t>
      </w:r>
      <w:r w:rsidR="007E1EE1" w:rsidRPr="007E1EE1">
        <w:rPr>
          <w:rFonts w:ascii="Arial" w:hAnsi="Arial" w:cs="Arial"/>
          <w:b/>
          <w:bCs/>
        </w:rPr>
        <w:t>1.030.875,00</w:t>
      </w:r>
      <w:r w:rsidR="007E1EE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EUR.</w:t>
      </w:r>
    </w:p>
    <w:p w14:paraId="1A6DF449" w14:textId="77777777" w:rsidR="00F90C99" w:rsidRDefault="00F90C99" w:rsidP="00F90C99">
      <w:pPr>
        <w:spacing w:after="0"/>
        <w:jc w:val="both"/>
        <w:rPr>
          <w:rFonts w:ascii="Arial" w:hAnsi="Arial" w:cs="Arial"/>
          <w:b/>
          <w:bCs/>
        </w:rPr>
      </w:pPr>
    </w:p>
    <w:p w14:paraId="07414959" w14:textId="1DBC4BA1" w:rsidR="00F90C99" w:rsidRDefault="00F90C99" w:rsidP="00F90C99">
      <w:pPr>
        <w:spacing w:after="0"/>
        <w:jc w:val="both"/>
        <w:rPr>
          <w:rFonts w:ascii="Arial" w:hAnsi="Arial" w:cs="Arial"/>
          <w:bCs/>
        </w:rPr>
      </w:pPr>
      <w:r w:rsidRPr="004350D2">
        <w:rPr>
          <w:rFonts w:ascii="Arial" w:hAnsi="Arial" w:cs="Arial"/>
        </w:rPr>
        <w:t>Planirani rashodi poslovanja povećani su za</w:t>
      </w:r>
      <w:r>
        <w:rPr>
          <w:rFonts w:ascii="Arial" w:hAnsi="Arial" w:cs="Arial"/>
          <w:b/>
          <w:bCs/>
        </w:rPr>
        <w:t xml:space="preserve"> </w:t>
      </w:r>
      <w:r w:rsidR="00B776BA" w:rsidRPr="00B776BA">
        <w:rPr>
          <w:rFonts w:ascii="Arial" w:hAnsi="Arial" w:cs="Arial"/>
          <w:b/>
          <w:bCs/>
        </w:rPr>
        <w:t>507.000,00</w:t>
      </w:r>
      <w:r w:rsidR="00B776B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EUR </w:t>
      </w:r>
      <w:r w:rsidRPr="004350D2">
        <w:rPr>
          <w:rFonts w:ascii="Arial" w:hAnsi="Arial" w:cs="Arial"/>
        </w:rPr>
        <w:t xml:space="preserve">a rashodi za nabavu nefinancijske imovine </w:t>
      </w:r>
      <w:r w:rsidR="00B41E58">
        <w:rPr>
          <w:rFonts w:ascii="Arial" w:hAnsi="Arial" w:cs="Arial"/>
        </w:rPr>
        <w:t>smanjeni</w:t>
      </w:r>
      <w:r w:rsidRPr="004350D2">
        <w:rPr>
          <w:rFonts w:ascii="Arial" w:hAnsi="Arial" w:cs="Arial"/>
        </w:rPr>
        <w:t xml:space="preserve"> su za</w:t>
      </w:r>
      <w:r>
        <w:rPr>
          <w:rFonts w:ascii="Arial" w:hAnsi="Arial" w:cs="Arial"/>
          <w:b/>
          <w:bCs/>
        </w:rPr>
        <w:t xml:space="preserve"> </w:t>
      </w:r>
      <w:r w:rsidR="00B776BA" w:rsidRPr="00B776BA">
        <w:rPr>
          <w:rFonts w:ascii="Arial" w:hAnsi="Arial" w:cs="Arial"/>
          <w:b/>
          <w:bCs/>
        </w:rPr>
        <w:t>700.129,00</w:t>
      </w:r>
      <w:r w:rsidR="00B41E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EUR. </w:t>
      </w:r>
    </w:p>
    <w:p w14:paraId="6EA790FA" w14:textId="77777777" w:rsidR="00F90C99" w:rsidRDefault="00F90C99" w:rsidP="00F90C99">
      <w:pPr>
        <w:spacing w:after="0"/>
        <w:jc w:val="both"/>
        <w:rPr>
          <w:rFonts w:ascii="Arial" w:hAnsi="Arial" w:cs="Arial"/>
          <w:bCs/>
        </w:rPr>
      </w:pPr>
    </w:p>
    <w:p w14:paraId="2D71C91F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b/>
          <w:kern w:val="2"/>
          <w:lang w:eastAsia="hr-HR"/>
        </w:rPr>
      </w:pPr>
      <w:r w:rsidRPr="00CB4A19">
        <w:rPr>
          <w:rFonts w:ascii="Arial" w:eastAsia="Times New Roman" w:hAnsi="Arial" w:cs="Arial"/>
          <w:b/>
          <w:kern w:val="2"/>
          <w:lang w:eastAsia="hr-HR"/>
        </w:rPr>
        <w:t>Skupina 3</w:t>
      </w:r>
      <w:r>
        <w:rPr>
          <w:rFonts w:ascii="Arial" w:eastAsia="Times New Roman" w:hAnsi="Arial" w:cs="Arial"/>
          <w:b/>
          <w:kern w:val="2"/>
          <w:lang w:eastAsia="hr-HR"/>
        </w:rPr>
        <w:t>1</w:t>
      </w:r>
      <w:r w:rsidRPr="00CB4A19">
        <w:rPr>
          <w:rFonts w:ascii="Arial" w:eastAsia="Times New Roman" w:hAnsi="Arial" w:cs="Arial"/>
          <w:b/>
          <w:kern w:val="2"/>
          <w:lang w:eastAsia="hr-HR"/>
        </w:rPr>
        <w:t xml:space="preserve"> – </w:t>
      </w:r>
      <w:r>
        <w:rPr>
          <w:rFonts w:ascii="Arial" w:eastAsia="Times New Roman" w:hAnsi="Arial" w:cs="Arial"/>
          <w:b/>
          <w:kern w:val="2"/>
          <w:lang w:eastAsia="hr-HR"/>
        </w:rPr>
        <w:t xml:space="preserve">Rashodi za zaposlene </w:t>
      </w:r>
      <w:r w:rsidRPr="18918B62">
        <w:rPr>
          <w:rFonts w:ascii="Arial" w:eastAsia="Times New Roman" w:hAnsi="Arial" w:cs="Arial"/>
          <w:kern w:val="2"/>
          <w:lang w:eastAsia="hr-HR"/>
        </w:rPr>
        <w:t>nisu se mijenjali</w:t>
      </w:r>
      <w:r>
        <w:rPr>
          <w:rFonts w:ascii="Arial" w:eastAsia="Times New Roman" w:hAnsi="Arial" w:cs="Arial"/>
          <w:b/>
          <w:kern w:val="2"/>
          <w:lang w:eastAsia="hr-HR"/>
        </w:rPr>
        <w:t>.</w:t>
      </w:r>
    </w:p>
    <w:p w14:paraId="013D7F4F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2F49B365" w14:textId="39002FA9" w:rsidR="00F90C99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  <w:r w:rsidRPr="0089651B">
        <w:rPr>
          <w:rFonts w:ascii="Arial" w:eastAsia="Times New Roman" w:hAnsi="Arial" w:cs="Arial"/>
          <w:b/>
          <w:kern w:val="2"/>
          <w:lang w:eastAsia="hr-HR"/>
        </w:rPr>
        <w:t>Skupina 32 – Materijalni rashodi</w:t>
      </w:r>
      <w:r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="00E257F5">
        <w:rPr>
          <w:rFonts w:ascii="Arial" w:eastAsia="Times New Roman" w:hAnsi="Arial" w:cs="Arial"/>
          <w:kern w:val="2"/>
          <w:lang w:eastAsia="hr-HR"/>
        </w:rPr>
        <w:t>smanjeni</w:t>
      </w:r>
      <w:r w:rsidRPr="006F0B11">
        <w:rPr>
          <w:rFonts w:ascii="Arial" w:eastAsia="Times New Roman" w:hAnsi="Arial" w:cs="Arial"/>
          <w:bCs/>
          <w:kern w:val="2"/>
          <w:lang w:eastAsia="hr-HR"/>
        </w:rPr>
        <w:t xml:space="preserve"> su za </w:t>
      </w:r>
      <w:r w:rsidR="00E257F5" w:rsidRPr="00E257F5">
        <w:rPr>
          <w:rFonts w:ascii="Arial" w:eastAsia="Times New Roman" w:hAnsi="Arial" w:cs="Arial"/>
          <w:kern w:val="2"/>
          <w:lang w:eastAsia="hr-HR"/>
        </w:rPr>
        <w:t>2</w:t>
      </w:r>
      <w:r w:rsidR="00B776BA">
        <w:rPr>
          <w:rFonts w:ascii="Arial" w:eastAsia="Times New Roman" w:hAnsi="Arial" w:cs="Arial"/>
          <w:kern w:val="2"/>
          <w:lang w:eastAsia="hr-HR"/>
        </w:rPr>
        <w:t>28</w:t>
      </w:r>
      <w:r w:rsidR="00E257F5" w:rsidRPr="00E257F5">
        <w:rPr>
          <w:rFonts w:ascii="Arial" w:eastAsia="Times New Roman" w:hAnsi="Arial" w:cs="Arial"/>
          <w:kern w:val="2"/>
          <w:lang w:eastAsia="hr-HR"/>
        </w:rPr>
        <w:t>.000,00</w:t>
      </w:r>
      <w:r w:rsidRPr="006F0B11">
        <w:rPr>
          <w:rFonts w:ascii="Arial" w:eastAsia="Times New Roman" w:hAnsi="Arial" w:cs="Arial"/>
          <w:kern w:val="2"/>
          <w:lang w:eastAsia="hr-HR"/>
        </w:rPr>
        <w:t>.</w:t>
      </w:r>
      <w:r w:rsidRPr="18918B62">
        <w:rPr>
          <w:rFonts w:ascii="Arial" w:eastAsia="Times New Roman" w:hAnsi="Arial" w:cs="Arial"/>
          <w:kern w:val="2"/>
          <w:lang w:eastAsia="hr-HR"/>
        </w:rPr>
        <w:t xml:space="preserve"> </w:t>
      </w:r>
    </w:p>
    <w:p w14:paraId="445A6417" w14:textId="78E0B66B" w:rsidR="0127D85C" w:rsidRDefault="0127D85C" w:rsidP="0127D85C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0436B1AD" w14:textId="56C09F6D" w:rsidR="0127D85C" w:rsidRDefault="53C96303" w:rsidP="0127D85C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53C96303">
        <w:rPr>
          <w:rFonts w:ascii="Arial" w:eastAsia="Times New Roman" w:hAnsi="Arial" w:cs="Arial"/>
          <w:b/>
          <w:bCs/>
          <w:lang w:eastAsia="hr-HR"/>
        </w:rPr>
        <w:t xml:space="preserve">Skupina 34 – Financijski rashodi </w:t>
      </w:r>
      <w:r w:rsidR="00E257F5">
        <w:rPr>
          <w:rFonts w:ascii="Arial" w:eastAsia="Times New Roman" w:hAnsi="Arial" w:cs="Arial"/>
          <w:lang w:eastAsia="hr-HR"/>
        </w:rPr>
        <w:t>nisu se mijenjali</w:t>
      </w:r>
    </w:p>
    <w:p w14:paraId="3973FE4A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73C6E5B8" w14:textId="65CAEDCA" w:rsidR="00F90C99" w:rsidRDefault="00F90C99" w:rsidP="00F90C99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330C25">
        <w:rPr>
          <w:rFonts w:ascii="Arial" w:eastAsia="Times New Roman" w:hAnsi="Arial" w:cs="Arial"/>
          <w:b/>
          <w:kern w:val="2"/>
          <w:lang w:eastAsia="hr-HR"/>
        </w:rPr>
        <w:t>Skupina 3</w:t>
      </w:r>
      <w:r>
        <w:rPr>
          <w:rFonts w:ascii="Arial" w:eastAsia="Times New Roman" w:hAnsi="Arial" w:cs="Arial"/>
          <w:b/>
          <w:kern w:val="2"/>
          <w:lang w:eastAsia="hr-HR"/>
        </w:rPr>
        <w:t>5</w:t>
      </w:r>
      <w:r w:rsidRPr="00330C25">
        <w:rPr>
          <w:rFonts w:ascii="Arial" w:eastAsia="Times New Roman" w:hAnsi="Arial" w:cs="Arial"/>
          <w:b/>
          <w:kern w:val="2"/>
          <w:lang w:eastAsia="hr-HR"/>
        </w:rPr>
        <w:t xml:space="preserve"> – </w:t>
      </w:r>
      <w:r>
        <w:rPr>
          <w:rFonts w:ascii="Arial" w:eastAsia="Times New Roman" w:hAnsi="Arial" w:cs="Arial"/>
          <w:b/>
          <w:kern w:val="2"/>
          <w:lang w:eastAsia="hr-HR"/>
        </w:rPr>
        <w:t>Subvencije</w:t>
      </w:r>
      <w:r w:rsidRPr="00330C25"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Pr="5B57AD4E">
        <w:rPr>
          <w:rFonts w:ascii="Arial" w:eastAsia="Times New Roman" w:hAnsi="Arial" w:cs="Arial"/>
          <w:kern w:val="2"/>
          <w:lang w:eastAsia="hr-HR"/>
        </w:rPr>
        <w:t>s</w:t>
      </w:r>
      <w:r w:rsidR="00A10542">
        <w:rPr>
          <w:rFonts w:ascii="Arial" w:eastAsia="Times New Roman" w:hAnsi="Arial" w:cs="Arial"/>
          <w:kern w:val="2"/>
          <w:lang w:eastAsia="hr-HR"/>
        </w:rPr>
        <w:t xml:space="preserve">u povećane za </w:t>
      </w:r>
      <w:r w:rsidR="0073462E" w:rsidRPr="0073462E">
        <w:rPr>
          <w:rFonts w:ascii="Arial" w:eastAsia="Times New Roman" w:hAnsi="Arial" w:cs="Arial"/>
          <w:kern w:val="2"/>
          <w:lang w:eastAsia="hr-HR"/>
        </w:rPr>
        <w:t>690.000</w:t>
      </w:r>
      <w:r w:rsidR="00A10542" w:rsidRPr="00A10542">
        <w:rPr>
          <w:rFonts w:ascii="Arial" w:eastAsia="Times New Roman" w:hAnsi="Arial" w:cs="Arial"/>
          <w:kern w:val="2"/>
          <w:lang w:eastAsia="hr-HR"/>
        </w:rPr>
        <w:t>,00</w:t>
      </w:r>
      <w:r w:rsidR="00EB4FD2">
        <w:rPr>
          <w:rFonts w:ascii="Arial" w:eastAsia="Times New Roman" w:hAnsi="Arial" w:cs="Arial"/>
          <w:kern w:val="2"/>
          <w:lang w:eastAsia="hr-HR"/>
        </w:rPr>
        <w:t xml:space="preserve"> i odnose se na rashode za javni prijevoz i gospodarenje otpadom.</w:t>
      </w:r>
    </w:p>
    <w:p w14:paraId="767CA871" w14:textId="0C66C617" w:rsidR="00F90C99" w:rsidRDefault="00F90C99" w:rsidP="5FD87A0B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3555D19F" w14:textId="3EDF401E" w:rsidR="00F90C99" w:rsidRDefault="5FD87A0B" w:rsidP="5FD87A0B">
      <w:pPr>
        <w:spacing w:after="0"/>
        <w:jc w:val="both"/>
        <w:rPr>
          <w:rFonts w:ascii="Arial" w:eastAsia="Times New Roman" w:hAnsi="Arial" w:cs="Arial"/>
          <w:kern w:val="2"/>
          <w:lang w:eastAsia="hr-HR"/>
        </w:rPr>
      </w:pPr>
      <w:r w:rsidRPr="6C45420E">
        <w:rPr>
          <w:rFonts w:ascii="Arial" w:eastAsia="Times New Roman" w:hAnsi="Arial" w:cs="Arial"/>
          <w:b/>
          <w:lang w:eastAsia="hr-HR"/>
        </w:rPr>
        <w:t xml:space="preserve">Skupina </w:t>
      </w:r>
      <w:r w:rsidR="22FE0EC2" w:rsidRPr="6C45420E">
        <w:rPr>
          <w:rFonts w:ascii="Arial" w:eastAsia="Times New Roman" w:hAnsi="Arial" w:cs="Arial"/>
          <w:b/>
          <w:lang w:eastAsia="hr-HR"/>
        </w:rPr>
        <w:t xml:space="preserve">36 </w:t>
      </w:r>
      <w:r w:rsidR="0DE5F1BD" w:rsidRPr="6C45420E">
        <w:rPr>
          <w:rFonts w:ascii="Arial" w:eastAsia="Times New Roman" w:hAnsi="Arial" w:cs="Arial"/>
          <w:b/>
          <w:lang w:eastAsia="hr-HR"/>
        </w:rPr>
        <w:t xml:space="preserve">- Pomoći </w:t>
      </w:r>
      <w:r w:rsidR="2E8B4BEF" w:rsidRPr="6C45420E">
        <w:rPr>
          <w:rFonts w:ascii="Arial" w:eastAsia="Times New Roman" w:hAnsi="Arial" w:cs="Arial"/>
          <w:b/>
          <w:lang w:eastAsia="hr-HR"/>
        </w:rPr>
        <w:t xml:space="preserve">dane u inozemstvo i </w:t>
      </w:r>
      <w:r w:rsidR="51690E34" w:rsidRPr="6C45420E">
        <w:rPr>
          <w:rFonts w:ascii="Arial" w:eastAsia="Times New Roman" w:hAnsi="Arial" w:cs="Arial"/>
          <w:b/>
          <w:lang w:eastAsia="hr-HR"/>
        </w:rPr>
        <w:t xml:space="preserve">unutar </w:t>
      </w:r>
      <w:r w:rsidR="44D86AF0" w:rsidRPr="6C45420E">
        <w:rPr>
          <w:rFonts w:ascii="Arial" w:eastAsia="Times New Roman" w:hAnsi="Arial" w:cs="Arial"/>
          <w:b/>
          <w:lang w:eastAsia="hr-HR"/>
        </w:rPr>
        <w:t xml:space="preserve">općeg </w:t>
      </w:r>
      <w:r w:rsidR="080147F4" w:rsidRPr="6C45420E">
        <w:rPr>
          <w:rFonts w:ascii="Arial" w:eastAsia="Times New Roman" w:hAnsi="Arial" w:cs="Arial"/>
          <w:b/>
          <w:lang w:eastAsia="hr-HR"/>
        </w:rPr>
        <w:t>proračuna</w:t>
      </w:r>
      <w:r w:rsidR="7E30724A" w:rsidRPr="7E30724A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6F0B11">
        <w:rPr>
          <w:rFonts w:ascii="Arial" w:eastAsia="Times New Roman" w:hAnsi="Arial" w:cs="Arial"/>
          <w:lang w:eastAsia="hr-HR"/>
        </w:rPr>
        <w:t>se nisu mijenjale</w:t>
      </w:r>
    </w:p>
    <w:p w14:paraId="3D77026C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p w14:paraId="19A4AD59" w14:textId="2907C155" w:rsidR="00F90C99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  <w:r w:rsidRPr="00390ECC">
        <w:rPr>
          <w:rFonts w:ascii="Arial" w:eastAsia="Times New Roman" w:hAnsi="Arial" w:cs="Arial"/>
          <w:b/>
          <w:kern w:val="2"/>
          <w:lang w:eastAsia="hr-HR"/>
        </w:rPr>
        <w:t>Skupina 37 – Naknade građanima i kućanstvima na temelju osiguranja i druge naknade</w:t>
      </w:r>
      <w:r w:rsidRPr="00FC2320"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="00763E2D">
        <w:rPr>
          <w:rFonts w:ascii="Arial" w:eastAsia="Times New Roman" w:hAnsi="Arial" w:cs="Arial"/>
          <w:kern w:val="2"/>
          <w:lang w:eastAsia="hr-HR"/>
        </w:rPr>
        <w:t>povećane</w:t>
      </w:r>
      <w:r w:rsidR="004D41EC">
        <w:rPr>
          <w:rFonts w:ascii="Arial" w:eastAsia="Times New Roman" w:hAnsi="Arial" w:cs="Arial"/>
          <w:kern w:val="2"/>
          <w:lang w:eastAsia="hr-HR"/>
        </w:rPr>
        <w:t xml:space="preserve"> su za </w:t>
      </w:r>
      <w:r w:rsidR="00763E2D">
        <w:rPr>
          <w:rFonts w:ascii="Arial" w:eastAsia="Times New Roman" w:hAnsi="Arial" w:cs="Arial"/>
          <w:kern w:val="2"/>
          <w:lang w:eastAsia="hr-HR"/>
        </w:rPr>
        <w:t>5</w:t>
      </w:r>
      <w:r w:rsidR="004D41EC">
        <w:rPr>
          <w:rFonts w:ascii="Arial" w:eastAsia="Times New Roman" w:hAnsi="Arial" w:cs="Arial"/>
          <w:kern w:val="2"/>
          <w:lang w:eastAsia="hr-HR"/>
        </w:rPr>
        <w:t>0.000 EUR.</w:t>
      </w:r>
    </w:p>
    <w:p w14:paraId="5D9AE714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p w14:paraId="1A9FC981" w14:textId="05814829" w:rsidR="00F90C99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  <w:r w:rsidRPr="006F0B11">
        <w:rPr>
          <w:rFonts w:ascii="Arial" w:eastAsia="Times New Roman" w:hAnsi="Arial" w:cs="Arial"/>
          <w:b/>
          <w:kern w:val="2"/>
          <w:lang w:eastAsia="hr-HR"/>
        </w:rPr>
        <w:t xml:space="preserve">Skupina 38 – </w:t>
      </w:r>
      <w:r w:rsidRPr="006F0B11">
        <w:rPr>
          <w:rFonts w:ascii="Arial" w:eastAsia="Times New Roman" w:hAnsi="Arial" w:cs="Arial"/>
          <w:b/>
          <w:bCs/>
          <w:kern w:val="2"/>
          <w:lang w:eastAsia="hr-HR"/>
        </w:rPr>
        <w:t>Rashodi za donacije, kazne, naknade šteta i kapitalne pomoći</w:t>
      </w:r>
      <w:r w:rsidRPr="006F0B11"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="004D41EC">
        <w:rPr>
          <w:rFonts w:ascii="Arial" w:eastAsia="Times New Roman" w:hAnsi="Arial" w:cs="Arial"/>
          <w:bCs/>
          <w:kern w:val="2"/>
          <w:lang w:eastAsia="hr-HR"/>
        </w:rPr>
        <w:t>smanjenje</w:t>
      </w:r>
      <w:r w:rsidR="00DB4791">
        <w:rPr>
          <w:rFonts w:ascii="Arial" w:eastAsia="Times New Roman" w:hAnsi="Arial" w:cs="Arial"/>
          <w:bCs/>
          <w:kern w:val="2"/>
          <w:lang w:eastAsia="hr-HR"/>
        </w:rPr>
        <w:t xml:space="preserve"> su za 5</w:t>
      </w:r>
      <w:r w:rsidRPr="006F0B11">
        <w:rPr>
          <w:rFonts w:ascii="Arial" w:eastAsia="Times New Roman" w:hAnsi="Arial" w:cs="Arial"/>
          <w:kern w:val="2"/>
          <w:lang w:eastAsia="hr-HR"/>
        </w:rPr>
        <w:t>.000,00</w:t>
      </w:r>
      <w:r w:rsidRPr="006F0B11">
        <w:rPr>
          <w:rFonts w:ascii="Arial" w:eastAsia="Times New Roman" w:hAnsi="Arial" w:cs="Arial"/>
          <w:bCs/>
          <w:kern w:val="2"/>
          <w:lang w:eastAsia="hr-HR"/>
        </w:rPr>
        <w:t xml:space="preserve"> EUR</w:t>
      </w:r>
      <w:r w:rsidR="00DB4791">
        <w:rPr>
          <w:rFonts w:ascii="Arial" w:eastAsia="Times New Roman" w:hAnsi="Arial" w:cs="Arial"/>
          <w:bCs/>
          <w:kern w:val="2"/>
          <w:lang w:eastAsia="hr-HR"/>
        </w:rPr>
        <w:t>.</w:t>
      </w:r>
    </w:p>
    <w:p w14:paraId="0038B6CE" w14:textId="4DD402CA" w:rsidR="00F90C99" w:rsidRDefault="00F90C99" w:rsidP="00F90C99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1AC9B82F" w14:textId="101B0328" w:rsidR="00F90C99" w:rsidRDefault="00F90C99" w:rsidP="00F90C99">
      <w:pPr>
        <w:spacing w:after="0"/>
        <w:jc w:val="both"/>
        <w:rPr>
          <w:rFonts w:ascii="Arial" w:eastAsia="Times New Roman" w:hAnsi="Arial" w:cs="Arial"/>
          <w:b/>
          <w:kern w:val="2"/>
          <w:lang w:eastAsia="hr-HR"/>
        </w:rPr>
      </w:pPr>
      <w:r w:rsidRPr="00E546C4">
        <w:rPr>
          <w:rFonts w:ascii="Arial" w:eastAsia="Times New Roman" w:hAnsi="Arial" w:cs="Arial"/>
          <w:b/>
          <w:bCs/>
          <w:lang w:eastAsia="hr-HR"/>
        </w:rPr>
        <w:t>Skupina 42</w:t>
      </w:r>
      <w:r w:rsidRPr="00E546C4">
        <w:rPr>
          <w:rFonts w:ascii="Arial" w:eastAsia="Times New Roman" w:hAnsi="Arial" w:cs="Arial"/>
          <w:lang w:eastAsia="hr-HR"/>
        </w:rPr>
        <w:t xml:space="preserve"> </w:t>
      </w:r>
      <w:r w:rsidRPr="00E546C4">
        <w:rPr>
          <w:rFonts w:ascii="Arial" w:eastAsia="Times New Roman" w:hAnsi="Arial" w:cs="Arial"/>
          <w:b/>
          <w:bCs/>
          <w:lang w:eastAsia="hr-HR"/>
        </w:rPr>
        <w:t>- Rashodi za nabavu proizvedene dugotrajne imovine</w:t>
      </w:r>
      <w:r w:rsidRPr="00E546C4">
        <w:rPr>
          <w:rFonts w:ascii="Arial" w:eastAsia="Times New Roman" w:hAnsi="Arial" w:cs="Arial"/>
          <w:lang w:eastAsia="hr-HR"/>
        </w:rPr>
        <w:t xml:space="preserve"> </w:t>
      </w:r>
      <w:r w:rsidR="00DB4791">
        <w:rPr>
          <w:rFonts w:ascii="Arial" w:eastAsia="Times New Roman" w:hAnsi="Arial" w:cs="Arial"/>
          <w:lang w:eastAsia="hr-HR"/>
        </w:rPr>
        <w:t>smanjeni</w:t>
      </w:r>
      <w:r w:rsidRPr="00E546C4">
        <w:rPr>
          <w:rFonts w:ascii="Arial" w:eastAsia="Times New Roman" w:hAnsi="Arial" w:cs="Arial"/>
          <w:lang w:eastAsia="hr-HR"/>
        </w:rPr>
        <w:t xml:space="preserve"> su za </w:t>
      </w:r>
      <w:r w:rsidR="00DB4791" w:rsidRPr="00DB4791">
        <w:rPr>
          <w:rFonts w:ascii="Arial" w:eastAsia="Times New Roman" w:hAnsi="Arial" w:cs="Arial"/>
          <w:lang w:eastAsia="hr-HR"/>
        </w:rPr>
        <w:t>-</w:t>
      </w:r>
      <w:r w:rsidR="00330ADC" w:rsidRPr="00330ADC">
        <w:rPr>
          <w:rFonts w:ascii="Arial" w:eastAsia="Times New Roman" w:hAnsi="Arial" w:cs="Arial"/>
          <w:lang w:eastAsia="hr-HR"/>
        </w:rPr>
        <w:t>-700.129,00</w:t>
      </w:r>
      <w:r w:rsidR="00330ADC">
        <w:rPr>
          <w:rFonts w:ascii="Arial" w:eastAsia="Times New Roman" w:hAnsi="Arial" w:cs="Arial"/>
          <w:lang w:eastAsia="hr-HR"/>
        </w:rPr>
        <w:t xml:space="preserve"> </w:t>
      </w:r>
      <w:r w:rsidRPr="00E546C4">
        <w:rPr>
          <w:rFonts w:ascii="Arial" w:eastAsia="Times New Roman" w:hAnsi="Arial" w:cs="Arial"/>
          <w:lang w:eastAsia="hr-HR"/>
        </w:rPr>
        <w:t xml:space="preserve">EUR. Navedeno </w:t>
      </w:r>
      <w:r w:rsidR="00DB4791">
        <w:rPr>
          <w:rFonts w:ascii="Arial" w:eastAsia="Times New Roman" w:hAnsi="Arial" w:cs="Arial"/>
          <w:lang w:eastAsia="hr-HR"/>
        </w:rPr>
        <w:t>smanjenje</w:t>
      </w:r>
      <w:r w:rsidRPr="00E546C4">
        <w:rPr>
          <w:rFonts w:ascii="Arial" w:eastAsia="Times New Roman" w:hAnsi="Arial" w:cs="Arial"/>
          <w:lang w:eastAsia="hr-HR"/>
        </w:rPr>
        <w:t xml:space="preserve"> rashoda odnosi se na usklađenje planiranih rashoda s realizacijom. Obrazloženje povećanja rashoda je dano u sklopu posebnog dijela proračuna.</w:t>
      </w:r>
    </w:p>
    <w:p w14:paraId="78551F0A" w14:textId="77777777" w:rsidR="00F90C99" w:rsidRDefault="00F90C99">
      <w:pPr>
        <w:spacing w:after="0"/>
        <w:jc w:val="both"/>
        <w:rPr>
          <w:rFonts w:ascii="Arial" w:hAnsi="Arial" w:cs="Arial"/>
          <w:b/>
        </w:rPr>
      </w:pPr>
    </w:p>
    <w:p w14:paraId="05343D72" w14:textId="157AADD0" w:rsidR="00923B7F" w:rsidRDefault="00B846EF" w:rsidP="00B846E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1.2 Račun prihoda i rashoda prema izvorima financiranja.</w:t>
      </w:r>
      <w:bookmarkStart w:id="6" w:name="_Toc87885884"/>
      <w:bookmarkStart w:id="7" w:name="_Toc118371152"/>
      <w:bookmarkEnd w:id="6"/>
      <w:bookmarkEnd w:id="7"/>
    </w:p>
    <w:p w14:paraId="2E72CCA0" w14:textId="77777777" w:rsidR="00FF0CD7" w:rsidRDefault="00FF0CD7" w:rsidP="00B846EF">
      <w:pPr>
        <w:spacing w:after="0"/>
        <w:jc w:val="both"/>
        <w:rPr>
          <w:rFonts w:ascii="Arial" w:hAnsi="Arial" w:cs="Arial"/>
          <w:b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3368"/>
        <w:gridCol w:w="1305"/>
        <w:gridCol w:w="1240"/>
        <w:gridCol w:w="1233"/>
        <w:gridCol w:w="1156"/>
        <w:gridCol w:w="1240"/>
      </w:tblGrid>
      <w:tr w:rsidR="008312B4" w:rsidRPr="008312B4" w14:paraId="53410125" w14:textId="77777777" w:rsidTr="00DD3EC0">
        <w:trPr>
          <w:trHeight w:val="264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CA6993" w14:textId="77777777" w:rsidR="008312B4" w:rsidRPr="008312B4" w:rsidRDefault="008312B4" w:rsidP="008312B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PRIHODA I RASHODA</w:t>
            </w:r>
          </w:p>
        </w:tc>
      </w:tr>
      <w:tr w:rsidR="00726114" w:rsidRPr="008312B4" w14:paraId="62A9BB17" w14:textId="77777777" w:rsidTr="00DD3EC0">
        <w:trPr>
          <w:trHeight w:val="126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18FD" w14:textId="1D26B9E8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/ </w:t>
            </w: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7D18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0418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4E8A7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4A01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726114" w:rsidRPr="008312B4" w14:paraId="3EB72DD0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A0C7" w14:textId="13D2D063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BCC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7.212.507,91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C08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-283.129,00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21F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-3,93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8EB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6.929.378,91</w:t>
            </w:r>
          </w:p>
        </w:tc>
      </w:tr>
      <w:tr w:rsidR="00726114" w:rsidRPr="008312B4" w14:paraId="25665C3A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B7E8" w14:textId="0E9BC136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F0F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6.732.507,91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D14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-283.129,00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73D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-4,21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048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6.449.378,91</w:t>
            </w:r>
          </w:p>
        </w:tc>
      </w:tr>
      <w:tr w:rsidR="00726114" w:rsidRPr="008312B4" w14:paraId="72188FC6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597C" w14:textId="78F1EA7F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BF2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2.944.354,94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954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E1F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AA4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2.994.354,94</w:t>
            </w:r>
          </w:p>
        </w:tc>
      </w:tr>
      <w:tr w:rsidR="00DD3EC0" w:rsidRPr="008312B4" w14:paraId="63554C13" w14:textId="77777777" w:rsidTr="00DD3EC0">
        <w:trPr>
          <w:trHeight w:val="264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08B0D" w14:textId="77777777" w:rsidR="008312B4" w:rsidRPr="008312B4" w:rsidRDefault="008312B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34FC2" w14:textId="77777777" w:rsidR="008312B4" w:rsidRPr="008312B4" w:rsidRDefault="008312B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79DBF" w14:textId="77777777" w:rsidR="008312B4" w:rsidRPr="008312B4" w:rsidRDefault="008312B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2.944.354,94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B5AD1" w14:textId="77777777" w:rsidR="008312B4" w:rsidRPr="008312B4" w:rsidRDefault="008312B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7C0C5" w14:textId="77777777" w:rsidR="008312B4" w:rsidRPr="008312B4" w:rsidRDefault="008312B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B0BED" w14:textId="77777777" w:rsidR="008312B4" w:rsidRPr="008312B4" w:rsidRDefault="008312B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2.994.354,94</w:t>
            </w:r>
          </w:p>
        </w:tc>
      </w:tr>
      <w:tr w:rsidR="00726114" w:rsidRPr="008312B4" w14:paraId="386A9BA4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A3E9" w14:textId="3E304B68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0EA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1.168.663,96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74A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-363.129,00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512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-31,07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82B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805.534,96</w:t>
            </w:r>
          </w:p>
        </w:tc>
      </w:tr>
      <w:tr w:rsidR="00726114" w:rsidRPr="008312B4" w14:paraId="1A1A4831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6547E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Tekuće potpore iz županijskog proračuna</w:t>
            </w:r>
          </w:p>
          <w:p w14:paraId="27B06CF4" w14:textId="5D4D0FDC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0A26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4555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ABC5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8A90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</w:tr>
      <w:tr w:rsidR="00726114" w:rsidRPr="008312B4" w14:paraId="7E80845C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EE88C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 Kapitalne potpore iz županijskog proračuna</w:t>
            </w:r>
          </w:p>
          <w:p w14:paraId="0C7DB1EC" w14:textId="47F6BAF3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F50B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186.871,00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68A69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CAEEF4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DDE2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186.871,00</w:t>
            </w:r>
          </w:p>
        </w:tc>
      </w:tr>
      <w:tr w:rsidR="00726114" w:rsidRPr="008312B4" w14:paraId="4DAC6BDC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343AE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5.3. Tekuće potpore iz državnog proračuna</w:t>
            </w:r>
          </w:p>
          <w:p w14:paraId="1FE5FFDE" w14:textId="24733B36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5BB6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213.663,96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3D48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E3FE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54A9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213.663,96</w:t>
            </w:r>
          </w:p>
        </w:tc>
      </w:tr>
      <w:tr w:rsidR="00726114" w:rsidRPr="008312B4" w14:paraId="2551EA91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B36EA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iz EU državnih fondova</w:t>
            </w:r>
          </w:p>
          <w:p w14:paraId="66C07D27" w14:textId="4A1C3006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E322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663.129,00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27257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-363.129,00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40BA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-54,76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02CC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</w:tr>
      <w:tr w:rsidR="00726114" w:rsidRPr="008312B4" w14:paraId="24481F27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2A30" w14:textId="2611A5BF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7344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578.390,68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CD0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1AE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8,64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E09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628.390,68</w:t>
            </w:r>
          </w:p>
        </w:tc>
      </w:tr>
      <w:tr w:rsidR="00726114" w:rsidRPr="008312B4" w14:paraId="51650038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6584E" w14:textId="5F89EE20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665B4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195.320,68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87B2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9CCC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D0E16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195.320,68</w:t>
            </w:r>
          </w:p>
        </w:tc>
      </w:tr>
      <w:tr w:rsidR="00726114" w:rsidRPr="008312B4" w14:paraId="376D3673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0F3D2" w14:textId="5FB96D2B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1.2. Prihod od 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6793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4CFC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2EF5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58AD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726114" w:rsidRPr="008312B4" w14:paraId="6DBA1AE6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2EA8A" w14:textId="39C97CE6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 Naknada za koncesije na pomorskom dobru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0C94C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383.000,00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3D48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C46C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4526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433.000,00</w:t>
            </w:r>
          </w:p>
        </w:tc>
      </w:tr>
      <w:tr w:rsidR="00726114" w:rsidRPr="008312B4" w14:paraId="6802661F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968A" w14:textId="1D09AF39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209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2.041.098,33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655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A94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-0,98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ED6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2.021.098,33</w:t>
            </w:r>
          </w:p>
        </w:tc>
      </w:tr>
      <w:tr w:rsidR="00726114" w:rsidRPr="008312B4" w14:paraId="7B7D9C93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78A9E" w14:textId="38C146A4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D7C95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B127E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4EFF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578F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726114" w:rsidRPr="008312B4" w14:paraId="0A569EC8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4BC34C" w14:textId="2DDF77A3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roditelja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900BF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105.566,33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8801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5C49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3F2C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105.566,33</w:t>
            </w:r>
          </w:p>
        </w:tc>
      </w:tr>
      <w:tr w:rsidR="00726114" w:rsidRPr="008312B4" w14:paraId="3B958856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B97D64" w14:textId="61541BB4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4.1. Prihodi po posebnim propisima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C467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1.653.332,00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6F9B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8040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F734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1.633.332,00</w:t>
            </w:r>
          </w:p>
        </w:tc>
      </w:tr>
      <w:tr w:rsidR="00726114" w:rsidRPr="008312B4" w14:paraId="1148D030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2A5292" w14:textId="674E7B5E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 Prihodi po posebnim propisima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EA92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BBEE4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7117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6A80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</w:tr>
      <w:tr w:rsidR="00726114" w:rsidRPr="008312B4" w14:paraId="031B11A4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B5FE1" w14:textId="2A401CCD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4.4. Prihodi od upravljanja grobljem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A31C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5511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42A4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7DB7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726114" w:rsidRPr="008312B4" w14:paraId="01E689C5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E49D9" w14:textId="5312C8A0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4.8. Vodni doprinos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3D0B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ACFE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5A49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7CAA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726114" w:rsidRPr="008312B4" w14:paraId="14300C46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1CF8" w14:textId="1CF43AF2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 </w:t>
            </w: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1FF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151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169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DB3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480.000,00</w:t>
            </w:r>
          </w:p>
        </w:tc>
      </w:tr>
      <w:tr w:rsidR="00726114" w:rsidRPr="008312B4" w14:paraId="14DE80CB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B8B8" w14:textId="184312D0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388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143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AAF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8A2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480.000,00</w:t>
            </w:r>
          </w:p>
        </w:tc>
      </w:tr>
      <w:tr w:rsidR="00726114" w:rsidRPr="008312B4" w14:paraId="7AC2D83E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95451" w14:textId="6BEE8FAD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7.3. Prihod od prodaje grobnih mjesta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34633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CF333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ED611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3409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</w:tr>
      <w:tr w:rsidR="00726114" w:rsidRPr="008312B4" w14:paraId="4232F0DC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EA07" w14:textId="22FA3290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C5B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10.503.451,23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E52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-193.129,00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D87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-1,84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47A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10.310.322,23</w:t>
            </w:r>
          </w:p>
        </w:tc>
      </w:tr>
      <w:tr w:rsidR="00726114" w:rsidRPr="008312B4" w14:paraId="6EDF0DD2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D24D" w14:textId="653A36DC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BC0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5.467.141,78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FDB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507.000,00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0C4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1115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5.974.141,78</w:t>
            </w:r>
          </w:p>
        </w:tc>
      </w:tr>
      <w:tr w:rsidR="00726114" w:rsidRPr="008312B4" w14:paraId="2B40002E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E1E2" w14:textId="25EC97C1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96F5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1.416.400,00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1895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F554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724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1.416.400,00</w:t>
            </w:r>
          </w:p>
        </w:tc>
      </w:tr>
      <w:tr w:rsidR="00726114" w:rsidRPr="008312B4" w14:paraId="78989C3A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74CD0" w14:textId="70D641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A8F6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1.416.400,00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CDD2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C0BF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4A9F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1.416.400,00</w:t>
            </w:r>
          </w:p>
        </w:tc>
      </w:tr>
      <w:tr w:rsidR="00726114" w:rsidRPr="008312B4" w14:paraId="7ADF988B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362E" w14:textId="79CE5FD8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601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2.223.334,78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78D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-228.000,00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C185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-10,25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CBC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1.995.334,78</w:t>
            </w:r>
          </w:p>
        </w:tc>
      </w:tr>
      <w:tr w:rsidR="00726114" w:rsidRPr="008312B4" w14:paraId="3B149247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6AEF1" w14:textId="51F29F13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2562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614.598,15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FE0B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-128.000,00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CE8C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-20,83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B16C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486.598,15</w:t>
            </w:r>
          </w:p>
        </w:tc>
      </w:tr>
      <w:tr w:rsidR="00726114" w:rsidRPr="008312B4" w14:paraId="5D6623D2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EFC63D" w14:textId="766EF421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roditelja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4F55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104.261,33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95DD8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F8D34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900F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104.261,33</w:t>
            </w:r>
          </w:p>
        </w:tc>
      </w:tr>
      <w:tr w:rsidR="00726114" w:rsidRPr="008312B4" w14:paraId="1341344A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3FE78D" w14:textId="396DA89A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4.1. Prihodi po posebnim propisima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2F8C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959.000,00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F653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B47F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4F67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859.000,00</w:t>
            </w:r>
          </w:p>
        </w:tc>
      </w:tr>
      <w:tr w:rsidR="00726114" w:rsidRPr="008312B4" w14:paraId="5A80F2B9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E8D339" w14:textId="0E543361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4.4. Prihodi od upravljanja grobljem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FBEBD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93E23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B020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6A4FB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726114" w:rsidRPr="008312B4" w14:paraId="11117DE7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371E1" w14:textId="7EC36933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 Naknada za koncesije na pomorskom dobru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4985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5D02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6FFE2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5F3A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</w:tr>
      <w:tr w:rsidR="00726114" w:rsidRPr="008312B4" w14:paraId="30235D69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877E2" w14:textId="41B0B312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4.8. Vodni doprinos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BCAE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E4DE4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0577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98F60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726114" w:rsidRPr="008312B4" w14:paraId="06FB442C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FDBF4C" w14:textId="583131A5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Tekuće potpore iz županijskog proračuna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A0C53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B8E1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7463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5DDD3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726114" w:rsidRPr="008312B4" w14:paraId="01277481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83522" w14:textId="1E344345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5.3. Tekuće potpore iz državnog proračuna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5AFD8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23.663,96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D8D1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9C1A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6326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23.663,96</w:t>
            </w:r>
          </w:p>
        </w:tc>
      </w:tr>
      <w:tr w:rsidR="00726114" w:rsidRPr="008312B4" w14:paraId="2EC314BA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E6971" w14:textId="2FDF772C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iz EU državnih fondova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DFE5F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5633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3BD07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B9CB8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</w:tr>
      <w:tr w:rsidR="00726114" w:rsidRPr="008312B4" w14:paraId="2438420B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9D303" w14:textId="1D6DC245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8.1. Višak prihoda iz preneseni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0DD2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160.811,34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0EA7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1F09F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EBD1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160.811,34</w:t>
            </w:r>
          </w:p>
        </w:tc>
      </w:tr>
      <w:tr w:rsidR="00726114" w:rsidRPr="008312B4" w14:paraId="71DEA55D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A705" w14:textId="77777777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  <w:p w14:paraId="4A39FA8E" w14:textId="194C8AA5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00C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22.707,00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174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C6F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E8D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22.707,00</w:t>
            </w:r>
          </w:p>
        </w:tc>
      </w:tr>
      <w:tr w:rsidR="00726114" w:rsidRPr="008312B4" w14:paraId="25BB9D57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6F962" w14:textId="3C360CAE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DA04A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19BF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A159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B5C9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726114" w:rsidRPr="008312B4" w14:paraId="3C98BC4A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3525AD" w14:textId="6605F81B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1.2. Prihod od financijske imovine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F3169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5A5C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5626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BC586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726114" w:rsidRPr="008312B4" w14:paraId="75D3D5C4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EB42A" w14:textId="1ED9E830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3.3. Prihodi od roditelja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27ED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1.305,00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8877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1FB7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990C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1.305,00</w:t>
            </w:r>
          </w:p>
        </w:tc>
      </w:tr>
      <w:tr w:rsidR="00726114" w:rsidRPr="008312B4" w14:paraId="63950761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4D5B4" w14:textId="7134C813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4.1. Prihodi po posebnim propisima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B7103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4EB4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428C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DA73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1.332,00</w:t>
            </w:r>
          </w:p>
        </w:tc>
      </w:tr>
      <w:tr w:rsidR="00726114" w:rsidRPr="008312B4" w14:paraId="449C1737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07B6" w14:textId="6D4B094B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35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C33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A0D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8CA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106,15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E62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1.340.000,00</w:t>
            </w:r>
          </w:p>
        </w:tc>
      </w:tr>
      <w:tr w:rsidR="00726114" w:rsidRPr="008312B4" w14:paraId="6F0C7728" w14:textId="77777777" w:rsidTr="00DD3EC0">
        <w:trPr>
          <w:trHeight w:val="147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EDF87" w14:textId="29467448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22187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209B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C767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8C4A4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</w:tr>
      <w:tr w:rsidR="00726114" w:rsidRPr="008312B4" w14:paraId="6D259DC5" w14:textId="77777777" w:rsidTr="00DD3EC0">
        <w:trPr>
          <w:trHeight w:val="5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9EFEB3" w14:textId="0B13DC21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4.1. Prihodi po posebnim propisima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E081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87BE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4F1F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3E71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</w:tr>
      <w:tr w:rsidR="00726114" w:rsidRPr="008312B4" w14:paraId="14402125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71186" w14:textId="48596D68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Tekuće potpore iz županijskog proračuna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8250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919E9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CE16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076F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726114" w:rsidRPr="008312B4" w14:paraId="5AEE73DD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2E1BDB" w14:textId="72EADB21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8.1. Višak prihoda iz preneseni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EF438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FF4B65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FC2CF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6FB2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640.000,00</w:t>
            </w:r>
          </w:p>
        </w:tc>
      </w:tr>
      <w:tr w:rsidR="00726114" w:rsidRPr="008312B4" w14:paraId="3AE731EE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6B26" w14:textId="6F1342E1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3E1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BA9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FC7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D02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726114" w:rsidRPr="008312B4" w14:paraId="6A43196B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05059" w14:textId="1572AE54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73EE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4CBD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6D634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6890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726114" w:rsidRPr="008312B4" w14:paraId="2B1E63FC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B3CE" w14:textId="61063A32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D98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563.500,00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D4E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78F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8,87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381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613.500,00</w:t>
            </w:r>
          </w:p>
        </w:tc>
      </w:tr>
      <w:tr w:rsidR="00726114" w:rsidRPr="008312B4" w14:paraId="2BA53069" w14:textId="77777777" w:rsidTr="00DD3EC0">
        <w:trPr>
          <w:trHeight w:val="5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B1E5D6" w14:textId="190B3C27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CB02C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563.500,00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77E4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4B47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8,87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C6CC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613.500,00</w:t>
            </w:r>
          </w:p>
        </w:tc>
      </w:tr>
      <w:tr w:rsidR="00726114" w:rsidRPr="008312B4" w14:paraId="38AB461E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DAA" w14:textId="362EFB06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232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581.200,00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8B8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67C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-0,86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290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576.200,00</w:t>
            </w:r>
          </w:p>
        </w:tc>
      </w:tr>
      <w:tr w:rsidR="00726114" w:rsidRPr="008312B4" w14:paraId="60E708D5" w14:textId="77777777" w:rsidTr="00DD3EC0">
        <w:trPr>
          <w:trHeight w:val="5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44EF3" w14:textId="76D140AB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57926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241.200,00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57B7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EB48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-2,07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0D4F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236.200,00</w:t>
            </w:r>
          </w:p>
        </w:tc>
      </w:tr>
      <w:tr w:rsidR="00726114" w:rsidRPr="008312B4" w14:paraId="56A7703E" w14:textId="77777777" w:rsidTr="00DD3EC0">
        <w:trPr>
          <w:trHeight w:val="5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61116" w14:textId="35FBBB5F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 Prihodi po posebnim propisima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BA479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95A7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FCB8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5F435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726114" w:rsidRPr="008312B4" w14:paraId="100EF5A6" w14:textId="77777777" w:rsidTr="00DD3EC0">
        <w:trPr>
          <w:trHeight w:val="8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577BF" w14:textId="5DAA2DDA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8.1. Višak prihoda iz preneseni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5FCB4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073EF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08269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BDF93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290.000,00</w:t>
            </w:r>
          </w:p>
        </w:tc>
      </w:tr>
      <w:tr w:rsidR="00726114" w:rsidRPr="008312B4" w14:paraId="57D35926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D4CA" w14:textId="6BDC2772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575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5.036.309,45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B97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-700.129,00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0D7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-13,90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CA9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4.336.180,45</w:t>
            </w:r>
          </w:p>
        </w:tc>
      </w:tr>
      <w:tr w:rsidR="00726114" w:rsidRPr="008312B4" w14:paraId="000C2F70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4B07" w14:textId="5D12832F" w:rsidR="00726114" w:rsidRPr="008312B4" w:rsidRDefault="00726114" w:rsidP="008312B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FBD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5.036.309,45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79E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-700.129,00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196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-13,90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F62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4.336.180,45</w:t>
            </w:r>
          </w:p>
        </w:tc>
      </w:tr>
      <w:tr w:rsidR="00726114" w:rsidRPr="008312B4" w14:paraId="16F28553" w14:textId="77777777" w:rsidTr="00DD3EC0">
        <w:trPr>
          <w:trHeight w:val="5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E4D07" w14:textId="7F4D4DFD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DF32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193.177,47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366235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25DD4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647F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178.177,47</w:t>
            </w:r>
          </w:p>
        </w:tc>
      </w:tr>
      <w:tr w:rsidR="00726114" w:rsidRPr="008312B4" w14:paraId="757D7638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63E47F" w14:textId="290DA093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4.1. Prihodi po posebnim propisima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41D27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493.000,00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3586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-82.000,00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40E7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-16,63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3C906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411.000,00</w:t>
            </w:r>
          </w:p>
        </w:tc>
      </w:tr>
      <w:tr w:rsidR="00726114" w:rsidRPr="008312B4" w14:paraId="176D5EF6" w14:textId="77777777" w:rsidTr="00DD3EC0">
        <w:trPr>
          <w:trHeight w:val="5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2E6B57" w14:textId="16010D1E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 Prihodi po posebnim propisima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88FB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E58A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6B5A6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77FE8D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726114" w:rsidRPr="008312B4" w14:paraId="08927880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A3C8E" w14:textId="0E5549DF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 Naknada za koncesije na pomorskom dobru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1D59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C2965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CE73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F664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</w:tr>
      <w:tr w:rsidR="00726114" w:rsidRPr="008312B4" w14:paraId="36EA196E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2EA8F" w14:textId="42245025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 Kapitalne potpore iz županijskog proračuna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0D1D4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186.871,00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928D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1EB6C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81641B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186.871,00</w:t>
            </w:r>
          </w:p>
        </w:tc>
      </w:tr>
      <w:tr w:rsidR="00726114" w:rsidRPr="008312B4" w14:paraId="779CAD29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DF8139" w14:textId="5342EE6D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5.3. Tekuće potpore iz državnog proračuna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D54A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5688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98D9E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CC70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</w:tr>
      <w:tr w:rsidR="00726114" w:rsidRPr="008312B4" w14:paraId="388A83B5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E0058" w14:textId="6D8AF0DA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 Pomoći iz EU državnih fondova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0113A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363.129,00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1AF38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-363.129,00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BC651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3FC8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26114" w:rsidRPr="008312B4" w14:paraId="43FD3C9D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06C74" w14:textId="544A73CF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7.3. Prihod od prodaje grobnih mjesta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D8C4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BA6CF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B2852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69273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</w:tr>
      <w:tr w:rsidR="00726114" w:rsidRPr="008312B4" w14:paraId="199DC11F" w14:textId="77777777" w:rsidTr="00DD3EC0">
        <w:trPr>
          <w:trHeight w:val="264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3D95A" w14:textId="00436645" w:rsidR="00726114" w:rsidRPr="008312B4" w:rsidRDefault="00726114" w:rsidP="0072611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8.1. Višak prihoda iz preneseni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65BF0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2.580.131,98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1E4F9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-290.000,00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29F5AE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-11,24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2EA27" w14:textId="77777777" w:rsidR="00726114" w:rsidRPr="008312B4" w:rsidRDefault="00726114" w:rsidP="008312B4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312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2.290.131,98</w:t>
            </w:r>
          </w:p>
        </w:tc>
      </w:tr>
    </w:tbl>
    <w:p w14:paraId="3B64C5F7" w14:textId="77777777" w:rsidR="008312B4" w:rsidRDefault="008312B4" w:rsidP="00B846EF">
      <w:pPr>
        <w:spacing w:after="0"/>
        <w:jc w:val="both"/>
        <w:rPr>
          <w:rFonts w:ascii="Arial" w:hAnsi="Arial" w:cs="Arial"/>
          <w:b/>
        </w:rPr>
      </w:pPr>
    </w:p>
    <w:p w14:paraId="6E731B67" w14:textId="6C92AD1E" w:rsidR="00B017F1" w:rsidRPr="00B017F1" w:rsidRDefault="00B017F1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017F1">
        <w:rPr>
          <w:rFonts w:ascii="Arial" w:hAnsi="Arial" w:cs="Arial"/>
          <w:b/>
          <w:sz w:val="18"/>
          <w:szCs w:val="18"/>
        </w:rPr>
        <w:t xml:space="preserve">Tablica </w:t>
      </w:r>
      <w:r>
        <w:rPr>
          <w:rFonts w:ascii="Arial" w:hAnsi="Arial" w:cs="Arial"/>
          <w:b/>
          <w:sz w:val="18"/>
          <w:szCs w:val="18"/>
        </w:rPr>
        <w:t>3</w:t>
      </w:r>
      <w:r w:rsidRPr="00B017F1">
        <w:rPr>
          <w:rFonts w:ascii="Arial" w:hAnsi="Arial" w:cs="Arial"/>
          <w:b/>
          <w:sz w:val="18"/>
          <w:szCs w:val="18"/>
        </w:rPr>
        <w:t>. Prihodi, rashodi, primitci i izdaci</w:t>
      </w:r>
    </w:p>
    <w:p w14:paraId="666CD737" w14:textId="77777777" w:rsidR="00CB6237" w:rsidRDefault="00CB6237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121D5CFE" w14:textId="77777777" w:rsidR="00B017F1" w:rsidRDefault="00B017F1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6101931B" w14:textId="4DF5E405" w:rsidR="004E130E" w:rsidRDefault="00173220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  <w:r>
        <w:rPr>
          <w:rFonts w:ascii="Arial" w:eastAsia="Times New Roman" w:hAnsi="Arial" w:cs="Arial"/>
          <w:b/>
          <w:kern w:val="2"/>
          <w:lang w:eastAsia="hr-HR"/>
        </w:rPr>
        <w:t>1.</w:t>
      </w:r>
      <w:r w:rsidR="00ED46D9">
        <w:rPr>
          <w:rFonts w:ascii="Arial" w:eastAsia="Times New Roman" w:hAnsi="Arial" w:cs="Arial"/>
          <w:b/>
          <w:kern w:val="2"/>
          <w:lang w:eastAsia="hr-HR"/>
        </w:rPr>
        <w:t>3</w:t>
      </w:r>
      <w:r>
        <w:rPr>
          <w:rFonts w:ascii="Arial" w:eastAsia="Times New Roman" w:hAnsi="Arial" w:cs="Arial"/>
          <w:b/>
          <w:kern w:val="2"/>
          <w:lang w:eastAsia="hr-HR"/>
        </w:rPr>
        <w:t>.Obrazloženje rashoda po funkcijskoj klasifikaciji</w:t>
      </w:r>
      <w:r>
        <w:rPr>
          <w:rFonts w:ascii="Arial" w:eastAsia="Times New Roman" w:hAnsi="Arial" w:cs="Arial"/>
          <w:b/>
          <w:kern w:val="2"/>
          <w:lang w:eastAsia="hr-HR"/>
        </w:rPr>
        <w:tab/>
      </w:r>
    </w:p>
    <w:p w14:paraId="3CE42F09" w14:textId="77777777" w:rsidR="00D2566E" w:rsidRDefault="00D2566E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18ED3195" w14:textId="77777777" w:rsidR="00D2566E" w:rsidRDefault="00173220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  <w:r>
        <w:rPr>
          <w:rFonts w:ascii="Arial" w:eastAsia="Times New Roman" w:hAnsi="Arial" w:cs="Arial"/>
          <w:bCs/>
          <w:kern w:val="2"/>
          <w:lang w:eastAsia="hr-HR"/>
        </w:rPr>
        <w:t>Pregled rashoda po funkcijskoj klasifikaciji predstavlja raspored rashoda proračuna prema namjeni odnosno funkciji.</w:t>
      </w:r>
    </w:p>
    <w:p w14:paraId="0D0D3259" w14:textId="77777777" w:rsidR="005B25E3" w:rsidRDefault="005B25E3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310"/>
        <w:gridCol w:w="1831"/>
        <w:gridCol w:w="1164"/>
        <w:gridCol w:w="1313"/>
      </w:tblGrid>
      <w:tr w:rsidR="00345463" w:rsidRPr="005B25E3" w14:paraId="13CFA01D" w14:textId="77777777" w:rsidTr="00345463">
        <w:trPr>
          <w:trHeight w:val="54"/>
        </w:trPr>
        <w:tc>
          <w:tcPr>
            <w:tcW w:w="9441" w:type="dxa"/>
            <w:gridSpan w:val="5"/>
            <w:shd w:val="clear" w:color="auto" w:fill="B8CCE4" w:themeFill="accent1" w:themeFillTint="66"/>
            <w:vAlign w:val="bottom"/>
          </w:tcPr>
          <w:p w14:paraId="43C9124B" w14:textId="130CE416" w:rsidR="00345463" w:rsidRPr="005B25E3" w:rsidRDefault="00345463" w:rsidP="00345463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PREMA FUNKCIJSKOJ KLASIFIKACIJI</w:t>
            </w:r>
          </w:p>
        </w:tc>
      </w:tr>
      <w:tr w:rsidR="005B25E3" w:rsidRPr="005B25E3" w14:paraId="23AF3A96" w14:textId="77777777" w:rsidTr="00345463">
        <w:trPr>
          <w:trHeight w:val="400"/>
        </w:trPr>
        <w:tc>
          <w:tcPr>
            <w:tcW w:w="3823" w:type="dxa"/>
            <w:vAlign w:val="bottom"/>
            <w:hideMark/>
          </w:tcPr>
          <w:p w14:paraId="0C0DF97D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/ </w:t>
            </w: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310" w:type="dxa"/>
            <w:noWrap/>
            <w:vAlign w:val="bottom"/>
            <w:hideMark/>
          </w:tcPr>
          <w:p w14:paraId="3376326C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831" w:type="dxa"/>
            <w:noWrap/>
            <w:vAlign w:val="bottom"/>
            <w:hideMark/>
          </w:tcPr>
          <w:p w14:paraId="58791853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64" w:type="dxa"/>
            <w:vAlign w:val="bottom"/>
            <w:hideMark/>
          </w:tcPr>
          <w:p w14:paraId="38A6FFBF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313" w:type="dxa"/>
            <w:noWrap/>
            <w:vAlign w:val="bottom"/>
            <w:hideMark/>
          </w:tcPr>
          <w:p w14:paraId="79AE02D2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5B25E3" w:rsidRPr="005B25E3" w14:paraId="6A98C789" w14:textId="77777777" w:rsidTr="00345463">
        <w:trPr>
          <w:trHeight w:val="264"/>
        </w:trPr>
        <w:tc>
          <w:tcPr>
            <w:tcW w:w="3823" w:type="dxa"/>
            <w:noWrap/>
            <w:vAlign w:val="bottom"/>
            <w:hideMark/>
          </w:tcPr>
          <w:p w14:paraId="14674F8E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RASHODI / IZDACI</w:t>
            </w:r>
          </w:p>
        </w:tc>
        <w:tc>
          <w:tcPr>
            <w:tcW w:w="1310" w:type="dxa"/>
            <w:noWrap/>
            <w:vAlign w:val="bottom"/>
            <w:hideMark/>
          </w:tcPr>
          <w:p w14:paraId="405DE7DA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10.503.451,23</w:t>
            </w:r>
          </w:p>
        </w:tc>
        <w:tc>
          <w:tcPr>
            <w:tcW w:w="1831" w:type="dxa"/>
            <w:noWrap/>
            <w:vAlign w:val="bottom"/>
            <w:hideMark/>
          </w:tcPr>
          <w:p w14:paraId="6D94659E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-193.129,00</w:t>
            </w:r>
          </w:p>
        </w:tc>
        <w:tc>
          <w:tcPr>
            <w:tcW w:w="1164" w:type="dxa"/>
            <w:noWrap/>
            <w:vAlign w:val="bottom"/>
            <w:hideMark/>
          </w:tcPr>
          <w:p w14:paraId="710B4CEA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-1,84</w:t>
            </w:r>
          </w:p>
        </w:tc>
        <w:tc>
          <w:tcPr>
            <w:tcW w:w="1313" w:type="dxa"/>
            <w:noWrap/>
            <w:vAlign w:val="bottom"/>
            <w:hideMark/>
          </w:tcPr>
          <w:p w14:paraId="5992AA3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10.310.322,23</w:t>
            </w:r>
          </w:p>
        </w:tc>
      </w:tr>
      <w:tr w:rsidR="005B25E3" w:rsidRPr="005B25E3" w14:paraId="384536A5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022BBE85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01 Opće javne usluge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10AF1B3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1.795.395,12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28B4721D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-228.000,00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2D8A878C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-12,70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367EC480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1.567.395,12</w:t>
            </w:r>
          </w:p>
        </w:tc>
      </w:tr>
      <w:tr w:rsidR="005B25E3" w:rsidRPr="005B25E3" w14:paraId="2715A363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524E311B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011 "Izvršna  i zakonodavna tijela"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5BB891E3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1.078.217,65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52C1A2AE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-98.000,00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698AD8A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-9,09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0EA69102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980.217,65</w:t>
            </w:r>
          </w:p>
        </w:tc>
      </w:tr>
      <w:tr w:rsidR="005B25E3" w:rsidRPr="005B25E3" w14:paraId="4427D19E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0429E682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013 Opće usluge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0AB9330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717.177,47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7DE86CC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-130.000,00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58A3416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-18,13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0A10DE2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587.177,47</w:t>
            </w:r>
          </w:p>
        </w:tc>
      </w:tr>
      <w:tr w:rsidR="005B25E3" w:rsidRPr="005B25E3" w14:paraId="2541258D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46A16481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02 Obrana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7229FCBA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4FD15E3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2E18142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6CCA3ADD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B25E3" w:rsidRPr="005B25E3" w14:paraId="79302C3E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4F4A500A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022 Civilna obrana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5E1C825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06C0AC2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289933A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185E6AB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B25E3" w:rsidRPr="005B25E3" w14:paraId="19E2901C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481E30D9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03 Javni red i sigurnost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6E497EB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383.000,00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148EDBE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47978B1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-5,22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1BBF6DC3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363.000,00</w:t>
            </w:r>
          </w:p>
        </w:tc>
      </w:tr>
      <w:tr w:rsidR="005B25E3" w:rsidRPr="005B25E3" w14:paraId="3AFA60FA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23BF337A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031 Usluge policije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58713B6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0AFFE1F7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158C7F8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4A04F36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B25E3" w:rsidRPr="005B25E3" w14:paraId="325F2658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32673741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032 Usluge protupožarne zaštite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1B11ECF2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19BBC8B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5411102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2DA51D3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</w:tr>
      <w:tr w:rsidR="005B25E3" w:rsidRPr="005B25E3" w14:paraId="400A8202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074EC382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036 Rashodi za javni red i sigurnost koji nisu drugdje svrstani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19F6B90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292543D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15A88A7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-62,50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7DD3C3C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</w:tr>
      <w:tr w:rsidR="005B25E3" w:rsidRPr="005B25E3" w14:paraId="06E74A4B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6E2A62F6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04 Ekonomski poslovi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4861A85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1.829.197,36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65852CBC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41121B8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14,76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6EB73E8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2.099.197,36</w:t>
            </w:r>
          </w:p>
        </w:tc>
      </w:tr>
      <w:tr w:rsidR="005B25E3" w:rsidRPr="005B25E3" w14:paraId="2B409BAB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7219D305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045 Promet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0ACE3CD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977.177,47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2500E1C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2DE1F7FE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27,63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50F3924E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1.247.177,47</w:t>
            </w:r>
          </w:p>
        </w:tc>
      </w:tr>
      <w:tr w:rsidR="005B25E3" w:rsidRPr="005B25E3" w14:paraId="7195C468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68A0C716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047 Ostale industrije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29199CC2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569F835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407E514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4902201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B25E3" w:rsidRPr="005B25E3" w14:paraId="21029040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199CB083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5C906CC7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802.019,89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2BA9F27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31C7E02D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5BEFFE7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802.019,89</w:t>
            </w:r>
          </w:p>
        </w:tc>
      </w:tr>
      <w:tr w:rsidR="005B25E3" w:rsidRPr="005B25E3" w14:paraId="778F4B72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7A649960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05 Zaštita okoliša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06DFE8E3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56F5ED9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33A8604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54,35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5D82A20A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710.000,00</w:t>
            </w:r>
          </w:p>
        </w:tc>
      </w:tr>
      <w:tr w:rsidR="005B25E3" w:rsidRPr="005B25E3" w14:paraId="5B76818A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4F4E513E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Funkcijska klasifikacija  051 Gospodarenje otpadom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4454C597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032D0D5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265BA7D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54,35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43B03F3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710.000,00</w:t>
            </w:r>
          </w:p>
        </w:tc>
      </w:tr>
      <w:tr w:rsidR="005B25E3" w:rsidRPr="005B25E3" w14:paraId="080A39F3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6C54736E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08807E5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3.397.332,00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447C138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-157.000,00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670694F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-4,62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028D769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3.240.332,00</w:t>
            </w:r>
          </w:p>
        </w:tc>
      </w:tr>
      <w:tr w:rsidR="005B25E3" w:rsidRPr="005B25E3" w14:paraId="3CE92F2D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0B5DC546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062 Razvoj zajednice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04062B6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1.502.011,19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7BBBEC13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-127.000,00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35C970D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-8,46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421BBB3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1.375.011,19</w:t>
            </w:r>
          </w:p>
        </w:tc>
      </w:tr>
      <w:tr w:rsidR="005B25E3" w:rsidRPr="005B25E3" w14:paraId="420381F1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58C3AC29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063 Opskrba vodom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3F3BC62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732D262C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261E50A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740A163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tr w:rsidR="005B25E3" w:rsidRPr="005B25E3" w14:paraId="5274DDD9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1B9CD07F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064 Ulična rasvjeta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5113A113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1.052.332,00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79173702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0AA63127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24B86E8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1.052.332,00</w:t>
            </w:r>
          </w:p>
        </w:tc>
      </w:tr>
      <w:tr w:rsidR="005B25E3" w:rsidRPr="005B25E3" w14:paraId="271BB91B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686FBF7F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3514B827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692.988,81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76E98270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73DED7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-4,33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1DCB9B9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662.988,81</w:t>
            </w:r>
          </w:p>
        </w:tc>
      </w:tr>
      <w:tr w:rsidR="005B25E3" w:rsidRPr="005B25E3" w14:paraId="22681821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6D9919D2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07 Zdravstvo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4E8A7A7D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3189DE7C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1129030E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6D66F8EA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</w:tr>
      <w:tr w:rsidR="005B25E3" w:rsidRPr="005B25E3" w14:paraId="3351F6AC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0E726BDB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072 Službe za vanjske pacijente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60393550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0DBF2DDC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7A4F04B2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44740E3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</w:tr>
      <w:tr w:rsidR="005B25E3" w:rsidRPr="005B25E3" w14:paraId="29C0963B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6A710224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 "Rekreacija, kultura i religija"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2B439B7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245.200,00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5BB00590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0AD23D4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3E85B013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245.200,00</w:t>
            </w:r>
          </w:p>
        </w:tc>
      </w:tr>
      <w:tr w:rsidR="005B25E3" w:rsidRPr="005B25E3" w14:paraId="0EBF3AB5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5C501A4B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081 Službe rekreacije i sporta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09E6877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212.600,00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6BE71F3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1CA4818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6E09F31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212.600,00</w:t>
            </w:r>
          </w:p>
        </w:tc>
      </w:tr>
      <w:tr w:rsidR="005B25E3" w:rsidRPr="005B25E3" w14:paraId="7B38C0D5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593BEFB8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082 Službe kulture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1A9EFFE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60CBAA37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004DD86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4573816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5B25E3" w:rsidRPr="005B25E3" w14:paraId="77A293BE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4B4AA73C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084 Religijske i druge službe zajednice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055C281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3B7A3BA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5B4EDB2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7B39E8BD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B25E3" w:rsidRPr="005B25E3" w14:paraId="076C95A4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330ACE3E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 Obrazovanje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7C2F068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2.129.426,75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331A25F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-388.129,00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0D2F1BC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-18,23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6349206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1.741.297,75</w:t>
            </w:r>
          </w:p>
        </w:tc>
      </w:tr>
      <w:tr w:rsidR="005B25E3" w:rsidRPr="005B25E3" w14:paraId="1325AF02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6BB56AF9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091 Predškolsko i osnovno obrazovanje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0A41B7AE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1.899.426,75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16304BA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-358.129,00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55D31D6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-18,85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1F1C1386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1.541.297,75</w:t>
            </w:r>
          </w:p>
        </w:tc>
      </w:tr>
      <w:tr w:rsidR="005B25E3" w:rsidRPr="005B25E3" w14:paraId="72F589D7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27B7A377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093 "Poslije srednjoškolsko, ali ne visoko obrazovanje"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5E2046F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174FB79E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6843F73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-13,04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127022D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5B25E3" w:rsidRPr="005B25E3" w14:paraId="05367D7C" w14:textId="77777777" w:rsidTr="00345463">
        <w:trPr>
          <w:trHeight w:val="264"/>
        </w:trPr>
        <w:tc>
          <w:tcPr>
            <w:tcW w:w="3823" w:type="dxa"/>
            <w:shd w:val="clear" w:color="000000" w:fill="00CCFF"/>
            <w:noWrap/>
            <w:vAlign w:val="bottom"/>
            <w:hideMark/>
          </w:tcPr>
          <w:p w14:paraId="50B5E0FC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10 Socijalna zaštita</w:t>
            </w:r>
          </w:p>
        </w:tc>
        <w:tc>
          <w:tcPr>
            <w:tcW w:w="1310" w:type="dxa"/>
            <w:shd w:val="clear" w:color="000000" w:fill="00CCFF"/>
            <w:noWrap/>
            <w:vAlign w:val="bottom"/>
            <w:hideMark/>
          </w:tcPr>
          <w:p w14:paraId="45B7481A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211.900,00</w:t>
            </w:r>
          </w:p>
        </w:tc>
        <w:tc>
          <w:tcPr>
            <w:tcW w:w="1831" w:type="dxa"/>
            <w:shd w:val="clear" w:color="000000" w:fill="00CCFF"/>
            <w:noWrap/>
            <w:vAlign w:val="bottom"/>
            <w:hideMark/>
          </w:tcPr>
          <w:p w14:paraId="2355E36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64" w:type="dxa"/>
            <w:shd w:val="clear" w:color="000000" w:fill="00CCFF"/>
            <w:noWrap/>
            <w:vAlign w:val="bottom"/>
            <w:hideMark/>
          </w:tcPr>
          <w:p w14:paraId="310133EB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37,75</w:t>
            </w:r>
          </w:p>
        </w:tc>
        <w:tc>
          <w:tcPr>
            <w:tcW w:w="1313" w:type="dxa"/>
            <w:shd w:val="clear" w:color="000000" w:fill="00CCFF"/>
            <w:noWrap/>
            <w:vAlign w:val="bottom"/>
            <w:hideMark/>
          </w:tcPr>
          <w:p w14:paraId="163187E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291.900,00</w:t>
            </w:r>
          </w:p>
        </w:tc>
      </w:tr>
      <w:tr w:rsidR="005B25E3" w:rsidRPr="005B25E3" w14:paraId="71535E9B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1678C11C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101 Bolest i invaliditet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3FD7E65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58AC8D6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6EB923D8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137,93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4FA1129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138.000,00</w:t>
            </w:r>
          </w:p>
        </w:tc>
      </w:tr>
      <w:tr w:rsidR="005B25E3" w:rsidRPr="005B25E3" w14:paraId="101237F4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26615726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104 Obitelj i djeca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14EB1624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19BD20B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079E05AC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544C597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B25E3" w:rsidRPr="005B25E3" w14:paraId="21319DEB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25F944D0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105 Nezaposlenost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1469B11F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35BCB699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23B5D83C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123548AC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7.400,00</w:t>
            </w:r>
          </w:p>
        </w:tc>
      </w:tr>
      <w:tr w:rsidR="005B25E3" w:rsidRPr="005B25E3" w14:paraId="76478724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0783F307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106 Stanovanje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1656AA7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15D614C3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50E7308A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503E04B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B25E3" w:rsidRPr="005B25E3" w14:paraId="00E5AC90" w14:textId="77777777" w:rsidTr="00345463">
        <w:trPr>
          <w:trHeight w:val="264"/>
        </w:trPr>
        <w:tc>
          <w:tcPr>
            <w:tcW w:w="3823" w:type="dxa"/>
            <w:shd w:val="clear" w:color="000000" w:fill="00FFFF"/>
            <w:noWrap/>
            <w:vAlign w:val="bottom"/>
            <w:hideMark/>
          </w:tcPr>
          <w:p w14:paraId="311865CB" w14:textId="77777777" w:rsidR="005B25E3" w:rsidRPr="005B25E3" w:rsidRDefault="005B25E3" w:rsidP="005B25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107 Socijalna pomoć stanovništvu koje nije obuhvaćeno redovnim socijalnim programima</w:t>
            </w:r>
          </w:p>
        </w:tc>
        <w:tc>
          <w:tcPr>
            <w:tcW w:w="1310" w:type="dxa"/>
            <w:shd w:val="clear" w:color="000000" w:fill="00FFFF"/>
            <w:noWrap/>
            <w:vAlign w:val="bottom"/>
            <w:hideMark/>
          </w:tcPr>
          <w:p w14:paraId="4C22D49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108.500,00</w:t>
            </w:r>
          </w:p>
        </w:tc>
        <w:tc>
          <w:tcPr>
            <w:tcW w:w="1831" w:type="dxa"/>
            <w:shd w:val="clear" w:color="000000" w:fill="00FFFF"/>
            <w:noWrap/>
            <w:vAlign w:val="bottom"/>
            <w:hideMark/>
          </w:tcPr>
          <w:p w14:paraId="6F423A82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shd w:val="clear" w:color="000000" w:fill="00FFFF"/>
            <w:noWrap/>
            <w:vAlign w:val="bottom"/>
            <w:hideMark/>
          </w:tcPr>
          <w:p w14:paraId="5ACB7A05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3" w:type="dxa"/>
            <w:shd w:val="clear" w:color="000000" w:fill="00FFFF"/>
            <w:noWrap/>
            <w:vAlign w:val="bottom"/>
            <w:hideMark/>
          </w:tcPr>
          <w:p w14:paraId="4B150821" w14:textId="77777777" w:rsidR="005B25E3" w:rsidRPr="005B25E3" w:rsidRDefault="005B25E3" w:rsidP="005B25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B25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108.500,00</w:t>
            </w:r>
          </w:p>
        </w:tc>
      </w:tr>
    </w:tbl>
    <w:p w14:paraId="1D36885A" w14:textId="77777777" w:rsidR="004E130E" w:rsidRDefault="004E130E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p w14:paraId="3E509CCC" w14:textId="23121E2D" w:rsidR="00C01EDF" w:rsidRPr="00C1554D" w:rsidRDefault="002F3CE4" w:rsidP="00B017F1">
      <w:pPr>
        <w:tabs>
          <w:tab w:val="left" w:pos="5856"/>
        </w:tabs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  <w:r w:rsidRPr="00C1554D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>T</w:t>
      </w:r>
      <w:r w:rsidR="00C01EDF" w:rsidRPr="00C1554D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 xml:space="preserve">ablica br. </w:t>
      </w:r>
      <w:r w:rsidR="00B017F1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>4</w:t>
      </w:r>
      <w:r w:rsidR="00C01EDF" w:rsidRPr="00C1554D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 xml:space="preserve"> Rashodi Proračuna Općine Seget prema funkcijskoj klasifikaciji</w:t>
      </w:r>
    </w:p>
    <w:p w14:paraId="2F48E346" w14:textId="77777777" w:rsidR="00C1554D" w:rsidRDefault="00C1554D">
      <w:pPr>
        <w:jc w:val="both"/>
        <w:rPr>
          <w:rFonts w:ascii="Arial" w:hAnsi="Arial" w:cs="Arial"/>
          <w:b/>
          <w:iCs/>
          <w:kern w:val="2"/>
          <w:lang w:eastAsia="hr-HR"/>
        </w:rPr>
      </w:pPr>
    </w:p>
    <w:p w14:paraId="07A20292" w14:textId="4F787478" w:rsidR="00D2566E" w:rsidRDefault="00173220">
      <w:pPr>
        <w:jc w:val="both"/>
        <w:rPr>
          <w:rFonts w:ascii="Arial" w:hAnsi="Arial" w:cs="Arial"/>
          <w:b/>
          <w:iCs/>
          <w:kern w:val="2"/>
          <w:lang w:eastAsia="hr-HR"/>
        </w:rPr>
      </w:pPr>
      <w:r>
        <w:rPr>
          <w:rFonts w:ascii="Arial" w:hAnsi="Arial" w:cs="Arial"/>
          <w:b/>
          <w:iCs/>
          <w:kern w:val="2"/>
          <w:lang w:eastAsia="hr-HR"/>
        </w:rPr>
        <w:t>1.</w:t>
      </w:r>
      <w:r w:rsidR="00ED46D9">
        <w:rPr>
          <w:rFonts w:ascii="Arial" w:hAnsi="Arial" w:cs="Arial"/>
          <w:b/>
          <w:iCs/>
          <w:kern w:val="2"/>
          <w:lang w:eastAsia="hr-HR"/>
        </w:rPr>
        <w:t>4</w:t>
      </w:r>
      <w:r>
        <w:rPr>
          <w:rFonts w:ascii="Arial" w:hAnsi="Arial" w:cs="Arial"/>
          <w:b/>
          <w:iCs/>
          <w:kern w:val="2"/>
          <w:lang w:eastAsia="hr-HR"/>
        </w:rPr>
        <w:t>. Račun financiranja – prikaz primitaka i izdataka</w:t>
      </w:r>
    </w:p>
    <w:p w14:paraId="6096E9FF" w14:textId="560E7BAE" w:rsidR="00E97F15" w:rsidRDefault="00173220" w:rsidP="128584EF">
      <w:pPr>
        <w:jc w:val="both"/>
        <w:rPr>
          <w:rFonts w:ascii="Arial" w:hAnsi="Arial" w:cs="Arial"/>
          <w:lang w:eastAsia="hr-HR"/>
        </w:rPr>
      </w:pPr>
      <w:r w:rsidRPr="7D40D3E1">
        <w:rPr>
          <w:rFonts w:ascii="Arial" w:hAnsi="Arial" w:cs="Arial"/>
          <w:kern w:val="2"/>
          <w:lang w:eastAsia="hr-HR"/>
        </w:rPr>
        <w:t xml:space="preserve">Ovim </w:t>
      </w:r>
      <w:r w:rsidR="00C1200E" w:rsidRPr="7D40D3E1">
        <w:rPr>
          <w:rFonts w:ascii="Arial" w:hAnsi="Arial" w:cs="Arial"/>
          <w:b/>
          <w:bCs/>
          <w:kern w:val="2"/>
          <w:lang w:eastAsia="hr-HR"/>
        </w:rPr>
        <w:t>I</w:t>
      </w:r>
      <w:r w:rsidR="002F43F3">
        <w:rPr>
          <w:rFonts w:ascii="Arial" w:hAnsi="Arial" w:cs="Arial"/>
          <w:b/>
          <w:bCs/>
          <w:kern w:val="2"/>
          <w:lang w:eastAsia="hr-HR"/>
        </w:rPr>
        <w:t>I</w:t>
      </w:r>
      <w:r w:rsidR="00C1200E" w:rsidRPr="7D40D3E1">
        <w:rPr>
          <w:rFonts w:ascii="Arial" w:hAnsi="Arial" w:cs="Arial"/>
          <w:b/>
          <w:bCs/>
          <w:kern w:val="2"/>
          <w:lang w:eastAsia="hr-HR"/>
        </w:rPr>
        <w:t>. I</w:t>
      </w:r>
      <w:r w:rsidRPr="7D40D3E1">
        <w:rPr>
          <w:rFonts w:ascii="Arial" w:hAnsi="Arial" w:cs="Arial"/>
          <w:b/>
          <w:bCs/>
          <w:kern w:val="2"/>
          <w:lang w:eastAsia="hr-HR"/>
        </w:rPr>
        <w:t>zmjenama i dopunama</w:t>
      </w:r>
      <w:r w:rsidRPr="7D40D3E1">
        <w:rPr>
          <w:rFonts w:ascii="Arial" w:hAnsi="Arial" w:cs="Arial"/>
          <w:kern w:val="2"/>
          <w:lang w:eastAsia="hr-HR"/>
        </w:rPr>
        <w:t xml:space="preserve"> </w:t>
      </w:r>
      <w:r w:rsidRPr="00E546C4">
        <w:rPr>
          <w:rFonts w:ascii="Arial" w:hAnsi="Arial" w:cs="Arial"/>
          <w:kern w:val="2"/>
          <w:lang w:eastAsia="hr-HR"/>
        </w:rPr>
        <w:t xml:space="preserve">proračuna </w:t>
      </w:r>
      <w:r w:rsidR="00740843">
        <w:rPr>
          <w:rFonts w:ascii="Arial" w:hAnsi="Arial" w:cs="Arial"/>
          <w:kern w:val="2"/>
          <w:lang w:eastAsia="hr-HR"/>
        </w:rPr>
        <w:t>povećavaju</w:t>
      </w:r>
      <w:r w:rsidRPr="00E546C4">
        <w:rPr>
          <w:rFonts w:ascii="Arial" w:hAnsi="Arial" w:cs="Arial"/>
          <w:kern w:val="2"/>
          <w:lang w:eastAsia="hr-HR"/>
        </w:rPr>
        <w:t xml:space="preserve"> se iskazani</w:t>
      </w:r>
      <w:r w:rsidRPr="7D40D3E1">
        <w:rPr>
          <w:rFonts w:ascii="Arial" w:hAnsi="Arial" w:cs="Arial"/>
          <w:kern w:val="2"/>
          <w:lang w:eastAsia="hr-HR"/>
        </w:rPr>
        <w:t xml:space="preserve"> primici od financijske imovine i zaduživanja za iznos </w:t>
      </w:r>
      <w:r w:rsidRPr="00041305">
        <w:rPr>
          <w:rFonts w:ascii="Arial" w:hAnsi="Arial" w:cs="Arial"/>
          <w:kern w:val="2"/>
          <w:lang w:eastAsia="hr-HR"/>
        </w:rPr>
        <w:t xml:space="preserve">od </w:t>
      </w:r>
      <w:r w:rsidR="00740843" w:rsidRPr="00740843">
        <w:rPr>
          <w:rFonts w:ascii="Arial" w:hAnsi="Arial" w:cs="Arial"/>
          <w:b/>
          <w:bCs/>
          <w:kern w:val="2"/>
          <w:lang w:eastAsia="hr-HR"/>
        </w:rPr>
        <w:t>460.000,00</w:t>
      </w:r>
      <w:r w:rsidR="00740843">
        <w:rPr>
          <w:rFonts w:ascii="Arial" w:hAnsi="Arial" w:cs="Arial"/>
          <w:b/>
          <w:bCs/>
          <w:kern w:val="2"/>
          <w:lang w:eastAsia="hr-HR"/>
        </w:rPr>
        <w:t xml:space="preserve"> </w:t>
      </w:r>
      <w:r w:rsidRPr="00041305">
        <w:rPr>
          <w:rFonts w:ascii="Arial" w:hAnsi="Arial" w:cs="Arial"/>
          <w:kern w:val="2"/>
          <w:lang w:eastAsia="hr-HR"/>
        </w:rPr>
        <w:t>EUR</w:t>
      </w:r>
      <w:r w:rsidRPr="7D40D3E1">
        <w:rPr>
          <w:rFonts w:ascii="Arial" w:hAnsi="Arial" w:cs="Arial"/>
          <w:kern w:val="2"/>
          <w:lang w:eastAsia="hr-HR"/>
        </w:rPr>
        <w:t xml:space="preserve">. Izdaci za financijsku imovinu i otplate zajmova </w:t>
      </w:r>
      <w:r w:rsidRPr="00AD46C1">
        <w:rPr>
          <w:rFonts w:ascii="Arial" w:hAnsi="Arial" w:cs="Arial"/>
          <w:kern w:val="2"/>
          <w:lang w:eastAsia="hr-HR"/>
        </w:rPr>
        <w:t>povećavaju</w:t>
      </w:r>
      <w:r w:rsidRPr="7D40D3E1">
        <w:rPr>
          <w:rFonts w:ascii="Arial" w:hAnsi="Arial" w:cs="Arial"/>
          <w:kern w:val="2"/>
          <w:lang w:eastAsia="hr-HR"/>
        </w:rPr>
        <w:t xml:space="preserve"> se za iznos od </w:t>
      </w:r>
      <w:r w:rsidR="00C23D80" w:rsidRPr="00C23D80">
        <w:rPr>
          <w:rFonts w:ascii="Arial" w:hAnsi="Arial" w:cs="Arial"/>
          <w:b/>
          <w:bCs/>
          <w:kern w:val="2"/>
          <w:lang w:eastAsia="hr-HR"/>
        </w:rPr>
        <w:t>850.875,00</w:t>
      </w:r>
      <w:r w:rsidR="00C23D80">
        <w:rPr>
          <w:rFonts w:ascii="Arial" w:hAnsi="Arial" w:cs="Arial"/>
          <w:b/>
          <w:bCs/>
          <w:kern w:val="2"/>
          <w:lang w:eastAsia="hr-HR"/>
        </w:rPr>
        <w:t xml:space="preserve"> </w:t>
      </w:r>
      <w:r w:rsidRPr="7D40D3E1">
        <w:rPr>
          <w:rFonts w:ascii="Arial" w:hAnsi="Arial" w:cs="Arial"/>
          <w:kern w:val="2"/>
          <w:lang w:eastAsia="hr-HR"/>
        </w:rPr>
        <w:t>EUR.</w:t>
      </w:r>
    </w:p>
    <w:p w14:paraId="3D8984E8" w14:textId="509CFA6B" w:rsidR="00E45059" w:rsidRDefault="005E3477" w:rsidP="7D40D3E1">
      <w:pPr>
        <w:jc w:val="both"/>
        <w:rPr>
          <w:rFonts w:ascii="Arial" w:hAnsi="Arial" w:cs="Arial"/>
          <w:kern w:val="2"/>
          <w:lang w:eastAsia="hr-HR"/>
        </w:rPr>
      </w:pPr>
      <w:r w:rsidRPr="00484802">
        <w:rPr>
          <w:rFonts w:ascii="Arial" w:hAnsi="Arial" w:cs="Arial"/>
          <w:kern w:val="2"/>
          <w:lang w:eastAsia="hr-HR"/>
        </w:rPr>
        <w:t xml:space="preserve">Planirani su </w:t>
      </w:r>
      <w:r w:rsidR="009047A6" w:rsidRPr="00484802">
        <w:rPr>
          <w:rFonts w:ascii="Arial" w:hAnsi="Arial" w:cs="Arial"/>
          <w:kern w:val="2"/>
          <w:lang w:eastAsia="hr-HR"/>
        </w:rPr>
        <w:t xml:space="preserve">izdaci za dane zajmove i </w:t>
      </w:r>
      <w:proofErr w:type="spellStart"/>
      <w:r w:rsidR="009047A6" w:rsidRPr="00484802">
        <w:rPr>
          <w:rFonts w:ascii="Arial" w:hAnsi="Arial" w:cs="Arial"/>
          <w:kern w:val="2"/>
          <w:lang w:eastAsia="hr-HR"/>
        </w:rPr>
        <w:t>jamčevne</w:t>
      </w:r>
      <w:proofErr w:type="spellEnd"/>
      <w:r w:rsidR="009047A6" w:rsidRPr="00484802">
        <w:rPr>
          <w:rFonts w:ascii="Arial" w:hAnsi="Arial" w:cs="Arial"/>
          <w:kern w:val="2"/>
          <w:lang w:eastAsia="hr-HR"/>
        </w:rPr>
        <w:t xml:space="preserve"> </w:t>
      </w:r>
      <w:proofErr w:type="spellStart"/>
      <w:r w:rsidR="009047A6" w:rsidRPr="00484802">
        <w:rPr>
          <w:rFonts w:ascii="Arial" w:hAnsi="Arial" w:cs="Arial"/>
          <w:kern w:val="2"/>
          <w:lang w:eastAsia="hr-HR"/>
        </w:rPr>
        <w:t>pologe</w:t>
      </w:r>
      <w:proofErr w:type="spellEnd"/>
      <w:r w:rsidR="009047A6" w:rsidRPr="00484802">
        <w:rPr>
          <w:rFonts w:ascii="Arial" w:hAnsi="Arial" w:cs="Arial"/>
          <w:kern w:val="2"/>
          <w:lang w:eastAsia="hr-HR"/>
        </w:rPr>
        <w:t xml:space="preserve"> </w:t>
      </w:r>
      <w:r w:rsidRPr="00484802">
        <w:rPr>
          <w:rFonts w:ascii="Arial" w:hAnsi="Arial" w:cs="Arial"/>
          <w:kern w:val="2"/>
          <w:lang w:eastAsia="hr-HR"/>
        </w:rPr>
        <w:t xml:space="preserve">u iznosu od </w:t>
      </w:r>
      <w:r w:rsidR="00695A54" w:rsidRPr="00695A54">
        <w:rPr>
          <w:rFonts w:ascii="Arial" w:hAnsi="Arial" w:cs="Arial"/>
          <w:kern w:val="2"/>
          <w:lang w:eastAsia="hr-HR"/>
        </w:rPr>
        <w:t>850.875,00</w:t>
      </w:r>
      <w:r w:rsidR="00695A54">
        <w:rPr>
          <w:rFonts w:ascii="Arial" w:hAnsi="Arial" w:cs="Arial"/>
          <w:kern w:val="2"/>
          <w:lang w:eastAsia="hr-HR"/>
        </w:rPr>
        <w:t xml:space="preserve"> </w:t>
      </w:r>
      <w:r w:rsidRPr="00484802">
        <w:rPr>
          <w:rFonts w:ascii="Arial" w:hAnsi="Arial" w:cs="Arial"/>
          <w:kern w:val="2"/>
          <w:lang w:eastAsia="hr-HR"/>
        </w:rPr>
        <w:t xml:space="preserve">EUR koji predstavljaju </w:t>
      </w:r>
      <w:r w:rsidR="00B35A7C" w:rsidRPr="00484802">
        <w:rPr>
          <w:rFonts w:ascii="Arial" w:hAnsi="Arial" w:cs="Arial"/>
          <w:kern w:val="2"/>
          <w:lang w:eastAsia="hr-HR"/>
        </w:rPr>
        <w:t xml:space="preserve">izdatak </w:t>
      </w:r>
      <w:r w:rsidR="00695A54">
        <w:rPr>
          <w:rFonts w:ascii="Arial" w:hAnsi="Arial" w:cs="Arial"/>
          <w:kern w:val="2"/>
          <w:lang w:eastAsia="hr-HR"/>
        </w:rPr>
        <w:t xml:space="preserve">za </w:t>
      </w:r>
      <w:r w:rsidR="002C66BC">
        <w:rPr>
          <w:rFonts w:ascii="Arial" w:hAnsi="Arial" w:cs="Arial"/>
          <w:kern w:val="2"/>
          <w:lang w:eastAsia="hr-HR"/>
        </w:rPr>
        <w:t xml:space="preserve">prethodno </w:t>
      </w:r>
      <w:r w:rsidR="00B35A7C" w:rsidRPr="00484802">
        <w:rPr>
          <w:rFonts w:ascii="Arial" w:hAnsi="Arial" w:cs="Arial"/>
          <w:kern w:val="2"/>
          <w:lang w:eastAsia="hr-HR"/>
        </w:rPr>
        <w:t>dane zajmove komunalnom poduzeću</w:t>
      </w:r>
      <w:r w:rsidR="00142739">
        <w:rPr>
          <w:rFonts w:ascii="Arial" w:hAnsi="Arial" w:cs="Arial"/>
          <w:kern w:val="2"/>
          <w:lang w:eastAsia="hr-HR"/>
        </w:rPr>
        <w:t xml:space="preserve"> Zeleni Seget d.o.o.</w:t>
      </w:r>
      <w:r w:rsidR="00695A54">
        <w:rPr>
          <w:rFonts w:ascii="Arial" w:hAnsi="Arial" w:cs="Arial"/>
          <w:kern w:val="2"/>
          <w:lang w:eastAsia="hr-HR"/>
        </w:rPr>
        <w:t xml:space="preserve"> Prethodno</w:t>
      </w:r>
      <w:r w:rsidR="00A70D68">
        <w:rPr>
          <w:rFonts w:ascii="Arial" w:hAnsi="Arial" w:cs="Arial"/>
          <w:kern w:val="2"/>
          <w:lang w:eastAsia="hr-HR"/>
        </w:rPr>
        <w:t xml:space="preserve"> planiran</w:t>
      </w:r>
      <w:r w:rsidR="00B35A7C" w:rsidRPr="00484802">
        <w:rPr>
          <w:rFonts w:ascii="Arial" w:hAnsi="Arial" w:cs="Arial"/>
          <w:kern w:val="2"/>
          <w:lang w:eastAsia="hr-HR"/>
        </w:rPr>
        <w:t xml:space="preserve">i </w:t>
      </w:r>
      <w:r w:rsidR="00484802" w:rsidRPr="00484802">
        <w:rPr>
          <w:rFonts w:ascii="Arial" w:hAnsi="Arial" w:cs="Arial"/>
          <w:kern w:val="2"/>
          <w:lang w:eastAsia="hr-HR"/>
        </w:rPr>
        <w:t xml:space="preserve">iznos od </w:t>
      </w:r>
      <w:r w:rsidR="00A70D68">
        <w:rPr>
          <w:rFonts w:ascii="Arial" w:hAnsi="Arial" w:cs="Arial"/>
          <w:kern w:val="2"/>
          <w:lang w:eastAsia="hr-HR"/>
        </w:rPr>
        <w:t>18</w:t>
      </w:r>
      <w:r w:rsidR="00484802" w:rsidRPr="00484802">
        <w:rPr>
          <w:rFonts w:ascii="Arial" w:hAnsi="Arial" w:cs="Arial"/>
          <w:kern w:val="2"/>
          <w:lang w:eastAsia="hr-HR"/>
        </w:rPr>
        <w:t xml:space="preserve">0.000 EUR za </w:t>
      </w:r>
      <w:proofErr w:type="spellStart"/>
      <w:r w:rsidR="00484802" w:rsidRPr="00484802">
        <w:rPr>
          <w:rFonts w:ascii="Arial" w:hAnsi="Arial" w:cs="Arial"/>
          <w:kern w:val="2"/>
          <w:lang w:eastAsia="hr-HR"/>
        </w:rPr>
        <w:t>jamčevni</w:t>
      </w:r>
      <w:proofErr w:type="spellEnd"/>
      <w:r w:rsidR="00484802" w:rsidRPr="00484802">
        <w:rPr>
          <w:rFonts w:ascii="Arial" w:hAnsi="Arial" w:cs="Arial"/>
          <w:kern w:val="2"/>
          <w:lang w:eastAsia="hr-HR"/>
        </w:rPr>
        <w:t xml:space="preserve"> polog za kredit komunalnog poduzeća Zeleni Seget</w:t>
      </w:r>
      <w:r w:rsidRPr="00484802">
        <w:rPr>
          <w:rFonts w:ascii="Arial" w:hAnsi="Arial" w:cs="Arial"/>
          <w:kern w:val="2"/>
          <w:lang w:eastAsia="hr-HR"/>
        </w:rPr>
        <w:t xml:space="preserve"> u 202</w:t>
      </w:r>
      <w:r w:rsidR="003C6327" w:rsidRPr="00484802">
        <w:rPr>
          <w:rFonts w:ascii="Arial" w:hAnsi="Arial" w:cs="Arial"/>
          <w:kern w:val="2"/>
          <w:lang w:eastAsia="hr-HR"/>
        </w:rPr>
        <w:t>5</w:t>
      </w:r>
      <w:r w:rsidRPr="00484802">
        <w:rPr>
          <w:rFonts w:ascii="Arial" w:hAnsi="Arial" w:cs="Arial"/>
          <w:kern w:val="2"/>
          <w:lang w:eastAsia="hr-HR"/>
        </w:rPr>
        <w:t xml:space="preserve"> godini</w:t>
      </w:r>
      <w:r w:rsidR="00A70D68">
        <w:rPr>
          <w:rFonts w:ascii="Arial" w:hAnsi="Arial" w:cs="Arial"/>
          <w:kern w:val="2"/>
          <w:lang w:eastAsia="hr-HR"/>
        </w:rPr>
        <w:t xml:space="preserve"> </w:t>
      </w:r>
      <w:r w:rsidR="009354D7">
        <w:rPr>
          <w:rFonts w:ascii="Arial" w:hAnsi="Arial" w:cs="Arial"/>
          <w:kern w:val="2"/>
          <w:lang w:eastAsia="hr-HR"/>
        </w:rPr>
        <w:t xml:space="preserve">se u potpunosti umanjuje radi usklađenja s </w:t>
      </w:r>
      <w:r w:rsidR="00213B11">
        <w:rPr>
          <w:rFonts w:ascii="Arial" w:hAnsi="Arial" w:cs="Arial"/>
          <w:kern w:val="2"/>
          <w:lang w:eastAsia="hr-HR"/>
        </w:rPr>
        <w:t>periodom dospijeća planiranog izdatka</w:t>
      </w:r>
      <w:r w:rsidRPr="00484802">
        <w:rPr>
          <w:rFonts w:ascii="Arial" w:hAnsi="Arial" w:cs="Arial"/>
          <w:kern w:val="2"/>
          <w:lang w:eastAsia="hr-HR"/>
        </w:rPr>
        <w:t>.</w:t>
      </w:r>
      <w:r w:rsidR="00671C06">
        <w:rPr>
          <w:rFonts w:ascii="Arial" w:hAnsi="Arial" w:cs="Arial"/>
          <w:kern w:val="2"/>
          <w:lang w:eastAsia="hr-HR"/>
        </w:rPr>
        <w:t xml:space="preserve"> </w:t>
      </w:r>
    </w:p>
    <w:tbl>
      <w:tblPr>
        <w:tblW w:w="9379" w:type="dxa"/>
        <w:tblLook w:val="04A0" w:firstRow="1" w:lastRow="0" w:firstColumn="1" w:lastColumn="0" w:noHBand="0" w:noVBand="1"/>
      </w:tblPr>
      <w:tblGrid>
        <w:gridCol w:w="1555"/>
        <w:gridCol w:w="2835"/>
        <w:gridCol w:w="1332"/>
        <w:gridCol w:w="1361"/>
        <w:gridCol w:w="1134"/>
        <w:gridCol w:w="1156"/>
        <w:gridCol w:w="6"/>
      </w:tblGrid>
      <w:tr w:rsidR="00644556" w:rsidRPr="00644556" w14:paraId="508A0666" w14:textId="77777777" w:rsidTr="00644556">
        <w:trPr>
          <w:trHeight w:val="264"/>
        </w:trPr>
        <w:tc>
          <w:tcPr>
            <w:tcW w:w="9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4D1777" w14:textId="77777777" w:rsidR="00644556" w:rsidRPr="00644556" w:rsidRDefault="00644556" w:rsidP="0064455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FINANCIRANJA</w:t>
            </w:r>
          </w:p>
        </w:tc>
      </w:tr>
      <w:tr w:rsidR="00644556" w:rsidRPr="00644556" w14:paraId="1B5E75A7" w14:textId="77777777" w:rsidTr="00644556">
        <w:trPr>
          <w:gridAfter w:val="1"/>
          <w:wAfter w:w="6" w:type="dxa"/>
          <w:trHeight w:val="5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44C8C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7A5D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2404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8C51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B140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DC70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644556" w:rsidRPr="00644556" w14:paraId="50D94502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4DA7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SVEUKUPNO PRIHODI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CC2C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78EB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390.875,00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AD68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470B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7027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850.875,00</w:t>
            </w:r>
          </w:p>
        </w:tc>
      </w:tr>
      <w:tr w:rsidR="00644556" w:rsidRPr="00644556" w14:paraId="6B516C54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4A73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E6C2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772C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390.875,00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8C89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0411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BEAB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850.875,00</w:t>
            </w:r>
          </w:p>
        </w:tc>
      </w:tr>
      <w:tr w:rsidR="00644556" w:rsidRPr="00644556" w14:paraId="5D119CBB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B3ED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43AB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Primljeni povrati glavnica danih zajmova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D648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390.875,00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55DB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9A42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BECD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850.875,00</w:t>
            </w:r>
          </w:p>
        </w:tc>
      </w:tr>
      <w:tr w:rsidR="00644556" w:rsidRPr="00644556" w14:paraId="0B8C0A5E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69F1C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29B3D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0A3120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390.875,00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B7AC7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222B2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9F0E9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850.875,00</w:t>
            </w:r>
          </w:p>
        </w:tc>
      </w:tr>
      <w:tr w:rsidR="00644556" w:rsidRPr="00644556" w14:paraId="23052704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64F5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  SVEUKUPNO RASHODI / IZDACI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D64E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5D3A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660.875,00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73AD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AC8F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B554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1.030.875,00</w:t>
            </w:r>
          </w:p>
        </w:tc>
      </w:tr>
      <w:tr w:rsidR="00644556" w:rsidRPr="00644556" w14:paraId="1DA5177C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9395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6769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0E65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660.875,00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1E12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692A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55,99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34D2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1.030.875,00</w:t>
            </w:r>
          </w:p>
        </w:tc>
      </w:tr>
      <w:tr w:rsidR="00644556" w:rsidRPr="00644556" w14:paraId="34F2D7C4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B68D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3C80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Izdaci za dane zajmove i </w:t>
            </w:r>
            <w:proofErr w:type="spellStart"/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jamčevne</w:t>
            </w:r>
            <w:proofErr w:type="spellEnd"/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pologe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EF50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480.875,00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B0CC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48B2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76,94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8C31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850.875,00</w:t>
            </w:r>
          </w:p>
        </w:tc>
      </w:tr>
      <w:tr w:rsidR="00644556" w:rsidRPr="00644556" w14:paraId="092274DD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C5B3C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50642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DD64F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480.875,00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7387B8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A615A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76,94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E5ACC9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850.875,00</w:t>
            </w:r>
          </w:p>
        </w:tc>
      </w:tr>
      <w:tr w:rsidR="00644556" w:rsidRPr="00644556" w14:paraId="65D3A773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ED99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B99B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63E6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3A4F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B4AD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31BC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180.000,00</w:t>
            </w:r>
          </w:p>
        </w:tc>
      </w:tr>
      <w:tr w:rsidR="00644556" w:rsidRPr="00644556" w14:paraId="4E457E1B" w14:textId="77777777" w:rsidTr="00644556">
        <w:trPr>
          <w:gridAfter w:val="1"/>
          <w:wAfter w:w="6" w:type="dxa"/>
          <w:trHeight w:val="2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BE2CA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8.1. Višak prihoda iz preneseni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C80419" w14:textId="77777777" w:rsidR="00644556" w:rsidRPr="00644556" w:rsidRDefault="00644556" w:rsidP="0064455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20D11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C4B26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BC1F4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C7C9F" w14:textId="77777777" w:rsidR="00644556" w:rsidRPr="00644556" w:rsidRDefault="00644556" w:rsidP="0064455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445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180.000,00</w:t>
            </w:r>
          </w:p>
        </w:tc>
      </w:tr>
    </w:tbl>
    <w:p w14:paraId="132EBA41" w14:textId="77777777" w:rsidR="00EC22A4" w:rsidRDefault="00EC22A4" w:rsidP="00644556">
      <w:pPr>
        <w:spacing w:after="0" w:line="240" w:lineRule="auto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</w:p>
    <w:p w14:paraId="69DFFA35" w14:textId="28605878" w:rsidR="002D73A6" w:rsidRDefault="00955952" w:rsidP="0095595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  <w:r w:rsidRPr="00955952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>Tablica br. 4 Račun zaduživanja i financiranja</w:t>
      </w:r>
    </w:p>
    <w:p w14:paraId="5CC246ED" w14:textId="77777777" w:rsidR="00EC2DF4" w:rsidRDefault="00EC2DF4" w:rsidP="0095595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</w:p>
    <w:p w14:paraId="636EFFA7" w14:textId="77777777" w:rsidR="00E45059" w:rsidRDefault="00E45059" w:rsidP="0095595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</w:p>
    <w:p w14:paraId="6F328C56" w14:textId="77777777" w:rsidR="00EC2DF4" w:rsidRPr="00955952" w:rsidRDefault="00EC2DF4" w:rsidP="0095595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</w:p>
    <w:p w14:paraId="39748383" w14:textId="36503CE4" w:rsidR="00D2566E" w:rsidRDefault="00173220" w:rsidP="000407B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IZMJENA I DOPUNA POSEBNOG DIJELA PRORAČUNA</w:t>
      </w:r>
    </w:p>
    <w:p w14:paraId="1A74696D" w14:textId="77777777" w:rsidR="000407BA" w:rsidRPr="000407BA" w:rsidRDefault="000407BA" w:rsidP="000407BA">
      <w:pPr>
        <w:pStyle w:val="Odlomakpopisa"/>
        <w:jc w:val="both"/>
        <w:rPr>
          <w:rFonts w:ascii="Arial" w:hAnsi="Arial" w:cs="Arial"/>
          <w:b/>
        </w:rPr>
      </w:pPr>
    </w:p>
    <w:p w14:paraId="45E5FA74" w14:textId="77777777" w:rsidR="00D2566E" w:rsidRDefault="001732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Općina Seget obavlja poslovanje iz djelokruga rada jedinica lokalne samouprave koji je propisan Zakonom o lokalnoj i područnoj (regionalnoj) samoupravi te posebnim propisima kojima se određuju i provede programi javnih potreba.</w:t>
      </w:r>
    </w:p>
    <w:p w14:paraId="22C60105" w14:textId="77777777" w:rsidR="00D2566E" w:rsidRDefault="001732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Općina propisane poslove provodi putem tri organizacijske jedinice, proračunske razdjele:  Jedinstveni upravni odjel, Općinsko vijeće i Općinski načelnik te putem djelovanja rada proračunskog korisnika, Dječjeg vrtića Seget.</w:t>
      </w:r>
    </w:p>
    <w:p w14:paraId="2B5746DD" w14:textId="35190572" w:rsidR="00D2566E" w:rsidRDefault="001732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Posebni dio proračuna sastoji se plana rashoda po ekonomskoj klasifikaciji raspoređenih po proračunskim programima koji se provode kroz aktivnosti i projekte. Proračunski programi vezani su </w:t>
      </w:r>
      <w:bookmarkStart w:id="8" w:name="_Hlk143616707"/>
      <w:r>
        <w:rPr>
          <w:rFonts w:ascii="Arial" w:hAnsi="Arial" w:cs="Arial"/>
          <w:bCs/>
        </w:rPr>
        <w:t>uz djelokrug rada jedinica lokalne samouprave propisan Zakonom o lokalnoj i područnoj (regionalnoj) samoupravi, posebnim propisima kojima se određuju i provede programi javnih potre</w:t>
      </w:r>
      <w:bookmarkEnd w:id="8"/>
      <w:r>
        <w:rPr>
          <w:rFonts w:ascii="Arial" w:hAnsi="Arial" w:cs="Arial"/>
          <w:bCs/>
        </w:rPr>
        <w:t xml:space="preserve">ba te uz akte strateškog planiranja. </w:t>
      </w:r>
    </w:p>
    <w:p w14:paraId="4E46666C" w14:textId="32E52AFB" w:rsidR="00D2566E" w:rsidRDefault="001732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2.1.TABLIČNI PRIKAZ SA OBRAZLOŽENJEM IZMJENA I DOPUNA U POSEBNOM DIJELU PRORAČUNA</w:t>
      </w:r>
    </w:p>
    <w:p w14:paraId="7DD42AC7" w14:textId="77777777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posebnom dijelu Proračuna rashodi i izdaci se prikazuju po organizacijskoj i programskoj klasifikaciji. </w:t>
      </w:r>
    </w:p>
    <w:p w14:paraId="4F7A0390" w14:textId="77777777" w:rsidR="00D2566E" w:rsidRDefault="00173220">
      <w:pPr>
        <w:rPr>
          <w:rFonts w:ascii="Arial" w:hAnsi="Arial" w:cs="Arial"/>
          <w:bCs/>
        </w:rPr>
        <w:sectPr w:rsidR="00D2566E" w:rsidSect="00832E7D">
          <w:footerReference w:type="default" r:id="rId8"/>
          <w:pgSz w:w="11906" w:h="16838"/>
          <w:pgMar w:top="1417" w:right="1417" w:bottom="1417" w:left="1134" w:header="0" w:footer="708" w:gutter="0"/>
          <w:cols w:space="720"/>
          <w:formProt w:val="0"/>
          <w:docGrid w:linePitch="360" w:charSpace="12288"/>
        </w:sectPr>
      </w:pPr>
      <w:r>
        <w:rPr>
          <w:rFonts w:ascii="Arial" w:hAnsi="Arial" w:cs="Arial"/>
        </w:rPr>
        <w:t>U nastavku se daje obrazloženje povećanja i smanjenja rashoda po proračunskim programima, aktivnostima i projektima, kako slijedi:</w:t>
      </w:r>
    </w:p>
    <w:p w14:paraId="16E77B1D" w14:textId="4470D0AB" w:rsidR="00D2566E" w:rsidRDefault="0017322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Tablica </w:t>
      </w:r>
      <w:r w:rsidR="00AF16D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Obrazloženje posebnog dijela proračuna po programima, aktivnostima i projektima</w:t>
      </w:r>
    </w:p>
    <w:tbl>
      <w:tblPr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417"/>
        <w:gridCol w:w="1559"/>
        <w:gridCol w:w="1134"/>
        <w:gridCol w:w="1560"/>
      </w:tblGrid>
      <w:tr w:rsidR="000F5883" w:rsidRPr="00706668" w14:paraId="7051E9B4" w14:textId="77777777" w:rsidTr="001276D4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</w:tcPr>
          <w:p w14:paraId="05B2C3BB" w14:textId="2EDE389D" w:rsidR="000F5883" w:rsidRPr="00706668" w:rsidRDefault="000F5883" w:rsidP="000F58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PROGRAM – Aktivnost/Projekt – </w:t>
            </w:r>
            <w:r w:rsidRPr="00706668">
              <w:rPr>
                <w:rFonts w:cstheme="minorHAns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360B88FE" w14:textId="77777777" w:rsidR="000F5883" w:rsidRPr="00706668" w:rsidRDefault="000F5883" w:rsidP="00706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3934A9E" w14:textId="77777777" w:rsidR="000F5883" w:rsidRPr="00706668" w:rsidRDefault="000F5883" w:rsidP="00706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SMANJENJE / POVEĆANJE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4A28123" w14:textId="76F8BC3B" w:rsidR="000F5883" w:rsidRPr="00706668" w:rsidRDefault="00101E31" w:rsidP="00706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RAZLIKA (%</w:t>
            </w:r>
            <w:r w:rsidR="00706B8E" w:rsidRPr="00706668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194111BB" w14:textId="77777777" w:rsidR="000F5883" w:rsidRPr="00706668" w:rsidRDefault="000F5883" w:rsidP="00706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NOVI  PLAN</w:t>
            </w:r>
          </w:p>
        </w:tc>
      </w:tr>
      <w:tr w:rsidR="00C13FD4" w:rsidRPr="00706668" w14:paraId="37A27C15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bottom"/>
          </w:tcPr>
          <w:p w14:paraId="2456F930" w14:textId="77777777" w:rsidR="003E1943" w:rsidRPr="00706668" w:rsidRDefault="003E1943" w:rsidP="00EE525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Razdjel 001 JEDINSTVENI UPRAVNI ODJEL</w:t>
            </w:r>
          </w:p>
        </w:tc>
      </w:tr>
      <w:tr w:rsidR="00C13FD4" w:rsidRPr="00706668" w14:paraId="6E908EAA" w14:textId="77777777" w:rsidTr="00AC2DDA">
        <w:trPr>
          <w:trHeight w:val="5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5E188AC5" w14:textId="77777777" w:rsidR="003E1943" w:rsidRPr="00706668" w:rsidRDefault="003E1943" w:rsidP="00270E66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highlight w:val="red"/>
                <w:lang w:eastAsia="hr-HR"/>
              </w:rPr>
            </w:pPr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Program 1002 Održavanje komunalne infrastrukture</w:t>
            </w:r>
          </w:p>
        </w:tc>
      </w:tr>
      <w:tr w:rsidR="009D6A85" w:rsidRPr="00706668" w14:paraId="1C15DE1D" w14:textId="77777777" w:rsidTr="00AC2DDA">
        <w:trPr>
          <w:trHeight w:val="5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ABE0D90" w14:textId="382E7A84" w:rsidR="009D6A85" w:rsidRPr="00706668" w:rsidRDefault="009D6A85" w:rsidP="009D6A85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Aktivnost A100002 Održavanje sustava odvodnje atmosferskih voda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81B2641" w14:textId="7ADCB806" w:rsidR="009D6A85" w:rsidRPr="00706668" w:rsidRDefault="009D6A85" w:rsidP="009D6A8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975665" w14:textId="300C42F9" w:rsidR="009D6A85" w:rsidRPr="00706668" w:rsidRDefault="009D6A85" w:rsidP="009D6A8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-40.000,00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CDA1ECF" w14:textId="6E7DA79B" w:rsidR="009D6A85" w:rsidRPr="00706668" w:rsidRDefault="009D6A85" w:rsidP="009D6A8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-44,44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6DCB4EE" w14:textId="737A1F8C" w:rsidR="009D6A85" w:rsidRPr="00706668" w:rsidRDefault="009D6A85" w:rsidP="009D6A8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50.000,00</w:t>
            </w:r>
          </w:p>
        </w:tc>
      </w:tr>
      <w:tr w:rsidR="00C13FD4" w:rsidRPr="00706668" w14:paraId="4C938933" w14:textId="77777777" w:rsidTr="00AC2DDA">
        <w:trPr>
          <w:trHeight w:val="5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F6B53C" w14:textId="79839F6C" w:rsidR="003E1943" w:rsidRPr="00706668" w:rsidRDefault="003E1943" w:rsidP="00270E66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>Umanjenja sredstava se vrše radi usklađenja s planom realizacije</w:t>
            </w:r>
            <w:r w:rsidR="00C8276D"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2025 godini.</w:t>
            </w:r>
          </w:p>
        </w:tc>
      </w:tr>
      <w:tr w:rsidR="00C03DF5" w:rsidRPr="00706668" w14:paraId="3840A038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035187" w14:textId="1B3082B8" w:rsidR="00C03DF5" w:rsidRPr="00706668" w:rsidRDefault="00C03DF5" w:rsidP="00C03DF5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Aktivnost A100003 Čišćenje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15B8661" w14:textId="0457630E" w:rsidR="00C03DF5" w:rsidRPr="00706668" w:rsidRDefault="00C03DF5" w:rsidP="00C03DF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F3F0503" w14:textId="6DE8412D" w:rsidR="00C03DF5" w:rsidRPr="00706668" w:rsidRDefault="00C03DF5" w:rsidP="00C03DF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FB032C2" w14:textId="213BE902" w:rsidR="00C03DF5" w:rsidRPr="00706668" w:rsidRDefault="00C03DF5" w:rsidP="00C03DF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-30,00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5982142" w14:textId="0C040935" w:rsidR="00C03DF5" w:rsidRPr="00706668" w:rsidRDefault="00C03DF5" w:rsidP="00C03DF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70.000,00</w:t>
            </w:r>
          </w:p>
        </w:tc>
      </w:tr>
      <w:tr w:rsidR="00C13FD4" w:rsidRPr="00706668" w14:paraId="55DDB0C9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4F4383" w14:textId="37FECF69" w:rsidR="003E1943" w:rsidRPr="00706668" w:rsidRDefault="00537A32" w:rsidP="00270E6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Umanjenja sredstava se vrše radi usklađenja s planom realizacije u 2025 godini.</w:t>
            </w:r>
          </w:p>
        </w:tc>
      </w:tr>
      <w:tr w:rsidR="00C03DF5" w:rsidRPr="00706668" w14:paraId="6536EFA2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D3F1B3" w14:textId="6FE157A1" w:rsidR="00C03DF5" w:rsidRPr="00706668" w:rsidRDefault="00C03DF5" w:rsidP="00C03DF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Aktivnost A100009 Javni prijevoz</w:t>
            </w:r>
            <w:r w:rsidRPr="00706668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1EC4255" w14:textId="1F70A092" w:rsidR="00C03DF5" w:rsidRPr="00706668" w:rsidRDefault="00C03DF5" w:rsidP="00C03DF5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350.000,00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FB99CB5" w14:textId="52D0889A" w:rsidR="00C03DF5" w:rsidRPr="00706668" w:rsidRDefault="00C03DF5" w:rsidP="00C03DF5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440.000,00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EBD9FD3" w14:textId="3E385550" w:rsidR="00C03DF5" w:rsidRPr="00706668" w:rsidRDefault="00C03DF5" w:rsidP="00C03DF5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125,71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BA933D9" w14:textId="7EEF2AD8" w:rsidR="00C03DF5" w:rsidRPr="00706668" w:rsidRDefault="00C03DF5" w:rsidP="00C03DF5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790.000,00</w:t>
            </w:r>
          </w:p>
        </w:tc>
      </w:tr>
      <w:tr w:rsidR="00C13FD4" w:rsidRPr="00706668" w14:paraId="5767E061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9417F6" w14:textId="4CCC5A32" w:rsidR="003E1943" w:rsidRPr="00706668" w:rsidRDefault="00C36895" w:rsidP="00270E66">
            <w:pPr>
              <w:spacing w:after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Povećanje </w:t>
            </w:r>
            <w:r w:rsidR="00EE5E7B"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iznosa proračunske stavke </w:t>
            </w:r>
            <w:r w:rsidR="00B93B69"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radi povećanja </w:t>
            </w:r>
            <w:r w:rsidR="00537A32"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>troškova javnog prijevoza</w:t>
            </w:r>
          </w:p>
        </w:tc>
      </w:tr>
      <w:tr w:rsidR="008B4664" w:rsidRPr="00706668" w14:paraId="6B8E9171" w14:textId="77777777" w:rsidTr="00A30A9D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B6E067F" w14:textId="1E5AEE5D" w:rsidR="008B4664" w:rsidRPr="00706668" w:rsidRDefault="008B4664" w:rsidP="008B466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Aktivnost A100012 Subvencije javnom poduzeću za pružanje javne usluge gospodarenja otpadom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1858AA9" w14:textId="557120C9" w:rsidR="008B4664" w:rsidRPr="00706668" w:rsidRDefault="008B4664" w:rsidP="00C03DF5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B253948" w14:textId="7003A55E" w:rsidR="008B4664" w:rsidRPr="00706668" w:rsidRDefault="008B4664" w:rsidP="00C03DF5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250.000,00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E13485C" w14:textId="56EC0BFF" w:rsidR="008B4664" w:rsidRPr="00706668" w:rsidRDefault="008B4664" w:rsidP="00101E31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83,33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9F51E0D" w14:textId="3895116D" w:rsidR="008B4664" w:rsidRPr="00706668" w:rsidRDefault="008B4664" w:rsidP="00C03DF5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550.000,00</w:t>
            </w:r>
          </w:p>
        </w:tc>
      </w:tr>
      <w:tr w:rsidR="00B00BA3" w:rsidRPr="00706668" w14:paraId="46903C43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6E8925" w14:textId="2AB71EF1" w:rsidR="00B00BA3" w:rsidRPr="00706668" w:rsidRDefault="00B00BA3" w:rsidP="00B00BA3">
            <w:pPr>
              <w:spacing w:after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Povećanje iznosa proračunske stavke radi povećanja </w:t>
            </w:r>
            <w:r w:rsidR="008B4664"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>troškova odlaganja otpada</w:t>
            </w:r>
          </w:p>
        </w:tc>
      </w:tr>
      <w:tr w:rsidR="008A2C5F" w:rsidRPr="00706668" w14:paraId="35E61377" w14:textId="77777777" w:rsidTr="00F927B4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bottom"/>
          </w:tcPr>
          <w:p w14:paraId="5EE63726" w14:textId="396A58C9" w:rsidR="008A2C5F" w:rsidRPr="00706668" w:rsidRDefault="00F927B4" w:rsidP="008A2C5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Aktivnost A100013 Održavanje javnih površina na kojima nije dopušten promet motornim vozilima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0DE8871" w14:textId="7CC80490" w:rsidR="008A2C5F" w:rsidRPr="00706668" w:rsidRDefault="008A2C5F" w:rsidP="00706668">
            <w:pPr>
              <w:spacing w:after="0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253683" w14:textId="20641614" w:rsidR="008A2C5F" w:rsidRPr="00706668" w:rsidRDefault="008A2C5F" w:rsidP="00706668">
            <w:pPr>
              <w:spacing w:after="0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2A902CE" w14:textId="3AAFCA38" w:rsidR="008A2C5F" w:rsidRPr="00706668" w:rsidRDefault="008A2C5F" w:rsidP="00706668">
            <w:pPr>
              <w:spacing w:after="0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380F93A" w14:textId="04ED8EBA" w:rsidR="008A2C5F" w:rsidRPr="00706668" w:rsidRDefault="008A2C5F" w:rsidP="00706668">
            <w:pPr>
              <w:spacing w:after="0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30.000,00</w:t>
            </w:r>
          </w:p>
        </w:tc>
      </w:tr>
      <w:tr w:rsidR="003A7956" w:rsidRPr="00706668" w14:paraId="70221DBC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2178C0" w14:textId="4A817C7A" w:rsidR="003A7956" w:rsidRPr="00706668" w:rsidRDefault="008A2C5F" w:rsidP="00B00BA3">
            <w:pPr>
              <w:spacing w:after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>Sredstva namijenjena odr</w:t>
            </w:r>
            <w:r w:rsidR="00F927B4"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>žavanju javnih površina sukladno zakonu o komunalnom gospodarstvu</w:t>
            </w:r>
          </w:p>
        </w:tc>
      </w:tr>
      <w:tr w:rsidR="00C13FD4" w:rsidRPr="00706668" w14:paraId="0D7B6832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04676431" w14:textId="77777777" w:rsidR="003E1943" w:rsidRPr="00706668" w:rsidRDefault="003E1943" w:rsidP="00270E66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Program 1003 Razvoj komunalne infrastrukture</w:t>
            </w:r>
          </w:p>
        </w:tc>
      </w:tr>
      <w:tr w:rsidR="00DF79E4" w:rsidRPr="00706668" w14:paraId="3512744F" w14:textId="77777777" w:rsidTr="0055165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bottom"/>
          </w:tcPr>
          <w:p w14:paraId="6126B495" w14:textId="2D005351" w:rsidR="00DF79E4" w:rsidRPr="00706668" w:rsidRDefault="00DF79E4" w:rsidP="00DF79E4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Aktivnost A100001 Izgradnja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4EAB1F7" w14:textId="5B57F92D" w:rsidR="00DF79E4" w:rsidRPr="00706668" w:rsidRDefault="00DF79E4" w:rsidP="00551653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ABA118B" w14:textId="58FF1C9F" w:rsidR="00DF79E4" w:rsidRPr="00706668" w:rsidRDefault="00DF79E4" w:rsidP="00551653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-32.000,00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F3FDFE8" w14:textId="4DF9E178" w:rsidR="00DF79E4" w:rsidRPr="00706668" w:rsidRDefault="00DF79E4" w:rsidP="00551653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-10,67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BE54199" w14:textId="064B8D0B" w:rsidR="00DF79E4" w:rsidRPr="00706668" w:rsidRDefault="00DF79E4" w:rsidP="00551653">
            <w:pPr>
              <w:spacing w:after="0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268.000,00</w:t>
            </w:r>
          </w:p>
        </w:tc>
      </w:tr>
      <w:tr w:rsidR="002D1F2F" w:rsidRPr="00706668" w14:paraId="243AA906" w14:textId="77777777" w:rsidTr="0055165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0383E" w14:textId="7B6329F0" w:rsidR="002D1F2F" w:rsidRPr="00706668" w:rsidRDefault="00DF79E4" w:rsidP="00270E66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Usklađenje </w:t>
            </w:r>
            <w:r w:rsidR="00551653"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 dinamikom provedbe aktivnosti u 2025 godini.</w:t>
            </w:r>
          </w:p>
        </w:tc>
      </w:tr>
      <w:tr w:rsidR="00572DA1" w:rsidRPr="00706668" w14:paraId="04D15890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2590913" w14:textId="2D8C8538" w:rsidR="00572DA1" w:rsidRPr="00706668" w:rsidRDefault="00572DA1" w:rsidP="00572DA1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Aktivnost A100002 Izgradnja nerazvrstanih cesta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BDFF9C" w14:textId="2F15E86F" w:rsidR="00572DA1" w:rsidRPr="00706668" w:rsidRDefault="00572DA1" w:rsidP="00572DA1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003D81D" w14:textId="0DAFDED8" w:rsidR="00572DA1" w:rsidRPr="00706668" w:rsidRDefault="00572DA1" w:rsidP="00572DA1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-60.000,00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E86C594" w14:textId="63C9884F" w:rsidR="00572DA1" w:rsidRPr="00706668" w:rsidRDefault="00572DA1" w:rsidP="00572DA1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-54,55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356679A" w14:textId="3883F04E" w:rsidR="00572DA1" w:rsidRPr="00706668" w:rsidRDefault="00572DA1" w:rsidP="00572DA1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50.000,00</w:t>
            </w:r>
          </w:p>
        </w:tc>
      </w:tr>
      <w:tr w:rsidR="00A57926" w:rsidRPr="00706668" w14:paraId="0CE36A06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F4914" w14:textId="4661A881" w:rsidR="003E1943" w:rsidRPr="00706668" w:rsidRDefault="003E1943" w:rsidP="00270E6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 xml:space="preserve">Povećanje sredstava je izvršeno radi usklađenja s dinamikom </w:t>
            </w:r>
            <w:r w:rsidR="00685A52" w:rsidRPr="00706668">
              <w:rPr>
                <w:rFonts w:cstheme="minorHAnsi"/>
                <w:sz w:val="20"/>
                <w:szCs w:val="20"/>
              </w:rPr>
              <w:t xml:space="preserve">ugovaranja i </w:t>
            </w:r>
            <w:r w:rsidRPr="00706668">
              <w:rPr>
                <w:rFonts w:cstheme="minorHAnsi"/>
                <w:sz w:val="20"/>
                <w:szCs w:val="20"/>
              </w:rPr>
              <w:t>provedbe projekt</w:t>
            </w:r>
            <w:r w:rsidR="00572DA1" w:rsidRPr="00706668">
              <w:rPr>
                <w:rFonts w:cstheme="minorHAnsi"/>
                <w:sz w:val="20"/>
                <w:szCs w:val="20"/>
              </w:rPr>
              <w:t>a.</w:t>
            </w:r>
          </w:p>
        </w:tc>
      </w:tr>
      <w:tr w:rsidR="00F07FCF" w:rsidRPr="00706668" w14:paraId="42D89349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70D0518" w14:textId="30E6BCAB" w:rsidR="00F07FCF" w:rsidRPr="00706668" w:rsidRDefault="00F07FCF" w:rsidP="00F07FCF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Aktivnost A100008 Izgradnja javnih objekata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989139B" w14:textId="77176ED6" w:rsidR="00F07FCF" w:rsidRPr="00706668" w:rsidRDefault="00F07FCF" w:rsidP="00F07FCF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AC1E964" w14:textId="0702CB15" w:rsidR="00F07FCF" w:rsidRPr="00706668" w:rsidRDefault="00F07FCF" w:rsidP="00F07FCF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237121" w14:textId="526C1AB6" w:rsidR="00F07FCF" w:rsidRPr="00706668" w:rsidRDefault="00F07FCF" w:rsidP="00F07FCF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-62,50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6B7C3A0" w14:textId="58042619" w:rsidR="00F07FCF" w:rsidRPr="00706668" w:rsidRDefault="00F07FCF" w:rsidP="00F07FCF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30.000,00</w:t>
            </w:r>
          </w:p>
        </w:tc>
      </w:tr>
      <w:tr w:rsidR="00C13FD4" w:rsidRPr="00706668" w14:paraId="0A896E5D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974046" w14:textId="0F76E0A4" w:rsidR="003E1943" w:rsidRPr="00706668" w:rsidRDefault="003E1943" w:rsidP="00270E6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Usklađenje s dinamikom provedbe projekata</w:t>
            </w:r>
            <w:r w:rsidR="00685A52" w:rsidRPr="00706668">
              <w:rPr>
                <w:rFonts w:cstheme="minorHAnsi"/>
                <w:sz w:val="20"/>
                <w:szCs w:val="20"/>
              </w:rPr>
              <w:t xml:space="preserve"> </w:t>
            </w:r>
            <w:r w:rsidR="00F07FCF" w:rsidRPr="00706668">
              <w:rPr>
                <w:rFonts w:cstheme="minorHAnsi"/>
                <w:sz w:val="20"/>
                <w:szCs w:val="20"/>
              </w:rPr>
              <w:t>u 2025 godini.</w:t>
            </w:r>
          </w:p>
        </w:tc>
      </w:tr>
      <w:tr w:rsidR="00F7575A" w:rsidRPr="00706668" w14:paraId="03596726" w14:textId="77777777" w:rsidTr="006217E5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bottom"/>
          </w:tcPr>
          <w:p w14:paraId="1E949EB7" w14:textId="116153A3" w:rsidR="00F7575A" w:rsidRPr="00706668" w:rsidRDefault="00F7575A" w:rsidP="00F7575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Kapitalni projekt K100003 Uređenje ceste Akademika Mihe Barade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6998881" w14:textId="110557F6" w:rsidR="00F7575A" w:rsidRPr="00706668" w:rsidRDefault="00F7575A" w:rsidP="0070666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B169548" w14:textId="150C24CD" w:rsidR="00F7575A" w:rsidRPr="00706668" w:rsidRDefault="00F7575A" w:rsidP="0070666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-120.000,00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C69AB84" w14:textId="0DEC9B4D" w:rsidR="00F7575A" w:rsidRPr="00706668" w:rsidRDefault="00F7575A" w:rsidP="0070666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D6052E8" w14:textId="490E8FBF" w:rsidR="00F7575A" w:rsidRPr="00706668" w:rsidRDefault="00F7575A" w:rsidP="0070666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F7575A" w:rsidRPr="00706668" w14:paraId="37A8715E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57DC3B" w14:textId="70CAD9D9" w:rsidR="00F7575A" w:rsidRPr="00706668" w:rsidRDefault="00F7575A" w:rsidP="00F757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Usklađenje s dinamikom provedbe projekata</w:t>
            </w:r>
            <w:r w:rsidR="006217E5" w:rsidRPr="00706668">
              <w:rPr>
                <w:rFonts w:cstheme="minorHAnsi"/>
                <w:sz w:val="20"/>
                <w:szCs w:val="20"/>
              </w:rPr>
              <w:t xml:space="preserve">. </w:t>
            </w:r>
            <w:r w:rsidRPr="00706668">
              <w:rPr>
                <w:rFonts w:cstheme="minorHAnsi"/>
                <w:sz w:val="20"/>
                <w:szCs w:val="20"/>
              </w:rPr>
              <w:t xml:space="preserve">Projekt se planira provesti u 2026 godini po odobrenju </w:t>
            </w:r>
            <w:r w:rsidR="006217E5" w:rsidRPr="00706668">
              <w:rPr>
                <w:rFonts w:cstheme="minorHAnsi"/>
                <w:sz w:val="20"/>
                <w:szCs w:val="20"/>
              </w:rPr>
              <w:t>zahtjeva za izdavanje građevinske dozvole.</w:t>
            </w:r>
          </w:p>
        </w:tc>
      </w:tr>
      <w:tr w:rsidR="00F7575A" w:rsidRPr="00706668" w14:paraId="6C3BF70F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B0B0DCB" w14:textId="513F417C" w:rsidR="00F7575A" w:rsidRPr="00706668" w:rsidRDefault="00F7575A" w:rsidP="00F7575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Kapitalni projekt K100014 Izgradnja WC-a s tuševima na javnoj površini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21CFFC8" w14:textId="2CA9304E" w:rsidR="00F7575A" w:rsidRPr="00706668" w:rsidRDefault="00F7575A" w:rsidP="00F7575A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D8D9018" w14:textId="5BBE5BB3" w:rsidR="00F7575A" w:rsidRPr="00706668" w:rsidRDefault="00F7575A" w:rsidP="00F7575A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-15.000,00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ADDCCE5" w14:textId="522E8C0B" w:rsidR="00F7575A" w:rsidRPr="00706668" w:rsidRDefault="00F7575A" w:rsidP="00F7575A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-30,00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A0A67C7" w14:textId="71800C64" w:rsidR="00F7575A" w:rsidRPr="00706668" w:rsidRDefault="00F7575A" w:rsidP="00F7575A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35.000,00</w:t>
            </w:r>
          </w:p>
        </w:tc>
      </w:tr>
      <w:tr w:rsidR="00F7575A" w:rsidRPr="00706668" w14:paraId="3CBBC784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1FC60" w14:textId="0BF79E0E" w:rsidR="00F7575A" w:rsidRPr="00706668" w:rsidRDefault="00F7575A" w:rsidP="00F7575A">
            <w:pPr>
              <w:spacing w:after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Usklađenje s dinamikom provedbe projekata u 2025 godini.</w:t>
            </w:r>
          </w:p>
        </w:tc>
      </w:tr>
      <w:tr w:rsidR="00B20CB0" w:rsidRPr="00706668" w14:paraId="5FE5B885" w14:textId="77777777" w:rsidTr="00B20CB0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C9C78B7" w14:textId="43089109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Kapitalni projekt K100020 Uređenje nogostupa u Ulici Hrvatskog Križnog puta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9CFB63C" w14:textId="2BC25703" w:rsidR="00B20CB0" w:rsidRPr="00706668" w:rsidRDefault="00B20CB0" w:rsidP="0070666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08EE6A6" w14:textId="5990E12F" w:rsidR="00B20CB0" w:rsidRPr="00706668" w:rsidRDefault="00B20CB0" w:rsidP="0070666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53359C1" w14:textId="261BB2C6" w:rsidR="00B20CB0" w:rsidRPr="00706668" w:rsidRDefault="00B20CB0" w:rsidP="0070666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-62,50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026144D" w14:textId="0FA62296" w:rsidR="00B20CB0" w:rsidRPr="00706668" w:rsidRDefault="00B20CB0" w:rsidP="0070666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30.000,00</w:t>
            </w:r>
          </w:p>
        </w:tc>
      </w:tr>
      <w:tr w:rsidR="00B20CB0" w:rsidRPr="00706668" w14:paraId="78725F19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05ED2" w14:textId="0E1C4E88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Usklađenje s dinamikom provedbe projekata u 2025 godini.</w:t>
            </w:r>
          </w:p>
        </w:tc>
      </w:tr>
      <w:tr w:rsidR="00B20CB0" w:rsidRPr="00706668" w14:paraId="04576F46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BABB952" w14:textId="322E4995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Kapitalni projekt K100022 Kapitalna ulaganja u infrastrukturu za gospodarenje otpadom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5F15DA6" w14:textId="7F384710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540.875,00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7A281A6" w14:textId="2124FB0C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460.000,00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05476B4" w14:textId="31B3D61C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85,05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35A901D" w14:textId="6B465D22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1.000.875,00</w:t>
            </w:r>
          </w:p>
        </w:tc>
      </w:tr>
      <w:tr w:rsidR="00B20CB0" w:rsidRPr="00706668" w14:paraId="296F374D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47DEA" w14:textId="6202369E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lastRenderedPageBreak/>
              <w:t>Usklađenje iznosa proračunske stavke s dinamikom provedbe projekta u 2025 godini.</w:t>
            </w:r>
          </w:p>
        </w:tc>
      </w:tr>
      <w:tr w:rsidR="00B20CB0" w:rsidRPr="00706668" w14:paraId="5C140E6F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18CC9B" w14:textId="02BCBBA9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Tekući projekt T100001 Sufinanciranje otplate zajmova trgovačkog društva Zeleni Seget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E6E25BC" w14:textId="48BA322F" w:rsidR="00B20CB0" w:rsidRPr="00706668" w:rsidRDefault="00B20CB0" w:rsidP="00B20CB0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2AA6575" w14:textId="2A241D87" w:rsidR="00B20CB0" w:rsidRPr="00706668" w:rsidRDefault="00B20CB0" w:rsidP="00B20CB0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90.000,00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E02E9E8" w14:textId="468D7F76" w:rsidR="00B20CB0" w:rsidRPr="00706668" w:rsidRDefault="00B20CB0" w:rsidP="00B20CB0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0D45029" w14:textId="3D5FAD48" w:rsidR="00B20CB0" w:rsidRPr="00706668" w:rsidRDefault="00B20CB0" w:rsidP="00B20CB0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90.000,00</w:t>
            </w:r>
          </w:p>
        </w:tc>
      </w:tr>
      <w:tr w:rsidR="00B20CB0" w:rsidRPr="00706668" w14:paraId="0D1D7392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EB30" w14:textId="7ADA0598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color w:val="000000"/>
                <w:sz w:val="20"/>
                <w:szCs w:val="20"/>
              </w:rPr>
              <w:t xml:space="preserve">Sredstva se odnose na </w:t>
            </w:r>
            <w:proofErr w:type="spellStart"/>
            <w:r w:rsidRPr="00706668">
              <w:rPr>
                <w:rFonts w:cstheme="minorHAnsi"/>
                <w:color w:val="000000"/>
                <w:sz w:val="20"/>
                <w:szCs w:val="20"/>
              </w:rPr>
              <w:t>jamčevni</w:t>
            </w:r>
            <w:proofErr w:type="spellEnd"/>
            <w:r w:rsidRPr="00706668">
              <w:rPr>
                <w:rFonts w:cstheme="minorHAnsi"/>
                <w:color w:val="000000"/>
                <w:sz w:val="20"/>
                <w:szCs w:val="20"/>
              </w:rPr>
              <w:t xml:space="preserve"> ulog za zajam komunalnog poduzeća Zeleni Seget za nabavu komunalne opreme.</w:t>
            </w:r>
          </w:p>
        </w:tc>
      </w:tr>
      <w:tr w:rsidR="00B20CB0" w:rsidRPr="00706668" w14:paraId="29A833DB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556BF523" w14:textId="1BD1A551" w:rsidR="00B20CB0" w:rsidRPr="00706668" w:rsidRDefault="00B20CB0" w:rsidP="00B20CB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Program 1004 Odgoj i obrazovanje</w:t>
            </w:r>
          </w:p>
        </w:tc>
      </w:tr>
      <w:tr w:rsidR="008A542B" w:rsidRPr="00706668" w14:paraId="023A5D55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DA20DE" w14:textId="7B7662AA" w:rsidR="008A542B" w:rsidRPr="00706668" w:rsidRDefault="008A542B" w:rsidP="008A542B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Aktivnost A100005 Potpore učenicima i studentima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F2BA2FD" w14:textId="2E6853F6" w:rsidR="008A542B" w:rsidRPr="00706668" w:rsidRDefault="008A542B" w:rsidP="008A542B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230.000,00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18A28C" w14:textId="3FDD44A9" w:rsidR="008A542B" w:rsidRPr="00706668" w:rsidRDefault="008A542B" w:rsidP="008A542B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4209826" w14:textId="5B603132" w:rsidR="008A542B" w:rsidRPr="00706668" w:rsidRDefault="008A542B" w:rsidP="008A542B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-13,04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179A1A1" w14:textId="4B0E8830" w:rsidR="008A542B" w:rsidRPr="00706668" w:rsidRDefault="008A542B" w:rsidP="008A542B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200.000,00</w:t>
            </w:r>
          </w:p>
        </w:tc>
      </w:tr>
      <w:tr w:rsidR="00B20CB0" w:rsidRPr="00706668" w14:paraId="720FB9C4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B3011" w14:textId="64274FDF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>Smanjenje sredstava je izvršeno radi usklađenja s dinamikom provedbe aktivnosti.</w:t>
            </w:r>
          </w:p>
        </w:tc>
      </w:tr>
      <w:tr w:rsidR="00B20CB0" w:rsidRPr="00706668" w14:paraId="1253E01A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E399C93" w14:textId="01634AFB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 xml:space="preserve">Kapitalni projekt K100003 Izgradnja vrtića u </w:t>
            </w:r>
            <w:proofErr w:type="spellStart"/>
            <w:r w:rsidRPr="00706668">
              <w:rPr>
                <w:rFonts w:cstheme="minorHAnsi"/>
                <w:b/>
                <w:bCs/>
                <w:sz w:val="20"/>
                <w:szCs w:val="20"/>
              </w:rPr>
              <w:t>Bristivici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3870C5" w14:textId="0C07A965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619.923,43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74B0657" w14:textId="47B6C70B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-363.129,00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43F0A1A" w14:textId="4CAA3D15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-58,58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17360C3" w14:textId="31730CAD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256.794,43</w:t>
            </w:r>
          </w:p>
        </w:tc>
      </w:tr>
      <w:tr w:rsidR="00B20CB0" w:rsidRPr="00706668" w14:paraId="5583F89B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8EEF5" w14:textId="674F539C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>Provedba će se izvršiti u 2026 godini po odobrenju zahtjeva za izmjenom građevinske dozvole.</w:t>
            </w:r>
          </w:p>
        </w:tc>
      </w:tr>
      <w:tr w:rsidR="00B20CB0" w:rsidRPr="00706668" w14:paraId="30B08625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4FA60F94" w14:textId="6481E6B7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Program 1006 Socijalna skrb</w:t>
            </w:r>
          </w:p>
        </w:tc>
      </w:tr>
      <w:tr w:rsidR="00B20CB0" w:rsidRPr="00706668" w14:paraId="1501991E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F170A10" w14:textId="62B7ECF5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Aktivnost A100005 Sufinanciranje bolesnih, invalida i socijalnih slučajeva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1E9F2BD" w14:textId="589C174E" w:rsidR="00B20CB0" w:rsidRPr="00706668" w:rsidRDefault="00B20CB0" w:rsidP="00B20CB0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59.500,00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711F7ED" w14:textId="1264259B" w:rsidR="00B20CB0" w:rsidRPr="00706668" w:rsidRDefault="00B20CB0" w:rsidP="00B20CB0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80.000,00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76132F1" w14:textId="489A0835" w:rsidR="00B20CB0" w:rsidRPr="00706668" w:rsidRDefault="00B20CB0" w:rsidP="00B20CB0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134,45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6EBF422" w14:textId="3859343D" w:rsidR="00B20CB0" w:rsidRPr="00706668" w:rsidRDefault="00B20CB0" w:rsidP="00B20CB0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139.500,00</w:t>
            </w:r>
          </w:p>
        </w:tc>
      </w:tr>
      <w:tr w:rsidR="00B20CB0" w:rsidRPr="00706668" w14:paraId="503EC815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BC26D" w14:textId="697B76B3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Povećanje sredstava je izvršeno radi usklađenja s dinamikom provedbe aktivnosti.</w:t>
            </w:r>
          </w:p>
        </w:tc>
      </w:tr>
      <w:tr w:rsidR="00B20CB0" w:rsidRPr="00706668" w14:paraId="1E64FFD2" w14:textId="77777777" w:rsidTr="00547E14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B776CBC" w14:textId="464FAC48" w:rsidR="00B20CB0" w:rsidRPr="00706668" w:rsidRDefault="00B20CB0" w:rsidP="003214F9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Aktivnost A100009 Sufinanciranje na temelju zakona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F9322D1" w14:textId="73FD756E" w:rsidR="00B20CB0" w:rsidRPr="00706668" w:rsidRDefault="00B20CB0" w:rsidP="003214F9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AAB8072" w14:textId="5D8EEC14" w:rsidR="00B20CB0" w:rsidRPr="00706668" w:rsidRDefault="00B20CB0" w:rsidP="003214F9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06B6B10" w14:textId="4F03A37E" w:rsidR="00B20CB0" w:rsidRPr="00706668" w:rsidRDefault="00B20CB0" w:rsidP="003214F9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-20,00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090CF15" w14:textId="59A3E5A6" w:rsidR="00B20CB0" w:rsidRPr="00706668" w:rsidRDefault="00B20CB0" w:rsidP="003214F9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40.000,00</w:t>
            </w:r>
          </w:p>
        </w:tc>
      </w:tr>
      <w:tr w:rsidR="00B20CB0" w:rsidRPr="00706668" w14:paraId="19CB416C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395EC" w14:textId="1829090D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Povećanje sredstava je izvršeno radi usklađenja s dinamikom provedbe aktivnosti.</w:t>
            </w:r>
          </w:p>
        </w:tc>
      </w:tr>
      <w:tr w:rsidR="00B20CB0" w:rsidRPr="00706668" w14:paraId="632E7317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138EAA78" w14:textId="77777777" w:rsidR="00B20CB0" w:rsidRPr="00706668" w:rsidRDefault="00B20CB0" w:rsidP="00B20CB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Program 1009 Sigurnost, protupožarna i civilna zaštita</w:t>
            </w:r>
          </w:p>
        </w:tc>
      </w:tr>
      <w:tr w:rsidR="00B20CB0" w:rsidRPr="00706668" w14:paraId="20D9AE4A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FA47A0A" w14:textId="77777777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Kapitalni projekt K100002 Instalacija videonadzora na području Općine Seget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EAAA32" w14:textId="36214EB5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C9034D3" w14:textId="2D16D187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3477BBC" w14:textId="090F5E91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-62,50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862C985" w14:textId="2C5C36F3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B20CB0" w:rsidRPr="00706668" w14:paraId="4CD2BE54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FFFE7C" w14:textId="00BE83C0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Umanjenje sredstava za nabavu i instalaciju opreme za videonadzor na području Općine Seget radi usklađenja s dinamikom provedbe.</w:t>
            </w:r>
          </w:p>
        </w:tc>
      </w:tr>
      <w:tr w:rsidR="00B20CB0" w:rsidRPr="00706668" w14:paraId="6A87652F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5A758BF7" w14:textId="6E6F3661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Program 1010 Razvoj zajednice, naselja i stanovanje</w:t>
            </w:r>
          </w:p>
        </w:tc>
      </w:tr>
      <w:tr w:rsidR="00B20CB0" w:rsidRPr="00706668" w14:paraId="486E0444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741AFD6" w14:textId="35A3452C" w:rsidR="00B20CB0" w:rsidRPr="00706668" w:rsidRDefault="00B20CB0" w:rsidP="00B20CB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Aktivnost A100002 Razvoj zajednice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E0396EE" w14:textId="5213846E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AC221C5" w14:textId="28D2C5A2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4965F55" w14:textId="1B7A65B2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-33,33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7D3EE68" w14:textId="1C3EB8C3" w:rsidR="00B20CB0" w:rsidRPr="00706668" w:rsidRDefault="00B20CB0" w:rsidP="00B20CB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20.000,00</w:t>
            </w:r>
          </w:p>
        </w:tc>
      </w:tr>
      <w:tr w:rsidR="00B20CB0" w:rsidRPr="00706668" w14:paraId="71C466FE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A6818A" w14:textId="3B0F6955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Usklađenje iznosa proračunske stavke s dinamikom provedbe projekta u 2025 godini.</w:t>
            </w:r>
          </w:p>
        </w:tc>
      </w:tr>
      <w:tr w:rsidR="00B20CB0" w:rsidRPr="00706668" w14:paraId="563E8B15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8E30886" w14:textId="129A9643" w:rsidR="00B20CB0" w:rsidRPr="00706668" w:rsidRDefault="00B20CB0" w:rsidP="00B20CB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Kapitalni projekt K100017 Uređenje obale Mira Barešića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8CADF35" w14:textId="5FCCD14D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9E1EEFC" w14:textId="726C03FA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B9A279D" w14:textId="4A774058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16,67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3EEABB8" w14:textId="14DAE4BA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350.000,00</w:t>
            </w:r>
          </w:p>
        </w:tc>
      </w:tr>
      <w:tr w:rsidR="00B20CB0" w:rsidRPr="00706668" w14:paraId="6A6E1D26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6A8B48" w14:textId="6ABB72D4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Povećanje sredstava radi usklađenja s tržišnim procjenama provedbe projekta</w:t>
            </w:r>
          </w:p>
        </w:tc>
      </w:tr>
      <w:tr w:rsidR="00B20CB0" w:rsidRPr="00706668" w14:paraId="7F52F3D8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1529CABA" w14:textId="77777777" w:rsidR="00B20CB0" w:rsidRPr="00706668" w:rsidRDefault="00B20CB0" w:rsidP="00B20CB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Program 1012 Lokalna uprava i administracija</w:t>
            </w:r>
          </w:p>
        </w:tc>
      </w:tr>
      <w:tr w:rsidR="005820A2" w:rsidRPr="00706668" w14:paraId="3D3B428E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C61A11A" w14:textId="0E006F6A" w:rsidR="005820A2" w:rsidRPr="00706668" w:rsidRDefault="005820A2" w:rsidP="005820A2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Aktivnost A100001 Uprava i administracija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6E3132" w14:textId="55AD6E20" w:rsidR="005820A2" w:rsidRPr="00706668" w:rsidRDefault="005820A2" w:rsidP="005820A2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953.217,65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6622154" w14:textId="710ACE87" w:rsidR="005820A2" w:rsidRPr="00706668" w:rsidRDefault="005820A2" w:rsidP="005820A2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-114.000,00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DA58F60" w14:textId="51B8F86D" w:rsidR="005820A2" w:rsidRPr="00706668" w:rsidRDefault="005820A2" w:rsidP="005820A2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-11,96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37A1317" w14:textId="0DBEE5F0" w:rsidR="005820A2" w:rsidRPr="00706668" w:rsidRDefault="005820A2" w:rsidP="005820A2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839.217,65</w:t>
            </w:r>
          </w:p>
        </w:tc>
      </w:tr>
      <w:tr w:rsidR="00B20CB0" w:rsidRPr="00706668" w14:paraId="18CC74B8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751C53" w14:textId="128DA8D9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Smanjenje sredstava odnosi se na smanjenje potrebnih sredstava za materijalne rashode radi usklađenja s dinamikom poslovanja</w:t>
            </w:r>
          </w:p>
        </w:tc>
      </w:tr>
      <w:tr w:rsidR="00B20CB0" w:rsidRPr="00706668" w14:paraId="2C3E02EA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F9207A" w14:textId="6C55114A" w:rsidR="00B20CB0" w:rsidRPr="00706668" w:rsidRDefault="00B20CB0" w:rsidP="00B20CB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Kapitalni projekt K100001 Izgradnja općinske zgrade u </w:t>
            </w:r>
            <w:proofErr w:type="spellStart"/>
            <w:r w:rsidRPr="00706668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Ljubitovici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5FAE01" w14:textId="3248648E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DA3335B" w14:textId="0F309DFE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-120.000,00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F5FF7A" w14:textId="78CD6CED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-24,00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056C7DB" w14:textId="41CCA462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380.000,00</w:t>
            </w:r>
          </w:p>
        </w:tc>
      </w:tr>
      <w:tr w:rsidR="00B20CB0" w:rsidRPr="00706668" w14:paraId="272FCCAA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F423" w14:textId="4F0C1F2D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cstheme="minorHAnsi"/>
                <w:sz w:val="20"/>
                <w:szCs w:val="20"/>
              </w:rPr>
              <w:t>Usklađenje proračunske stavke s dinamikom provedbe projekta i isplate sredstava obzirom da će se projekt provoditi tijekom 2025 i 2026 godine.</w:t>
            </w:r>
          </w:p>
        </w:tc>
      </w:tr>
      <w:tr w:rsidR="00B20CB0" w:rsidRPr="00706668" w14:paraId="628C91D3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9EBD" w14:textId="369FB2C6" w:rsidR="00B20CB0" w:rsidRPr="00706668" w:rsidRDefault="00B20CB0" w:rsidP="00B20CB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Razdjel 002 OPĆINSKO VIJEĆE</w:t>
            </w:r>
          </w:p>
        </w:tc>
      </w:tr>
      <w:tr w:rsidR="00B20CB0" w:rsidRPr="00706668" w14:paraId="5F029DC3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0DD5D2BF" w14:textId="11159E4A" w:rsidR="00B20CB0" w:rsidRPr="00706668" w:rsidRDefault="00B20CB0" w:rsidP="00B20CB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Program 1012 Lokalna uprava i administracija</w:t>
            </w:r>
          </w:p>
        </w:tc>
      </w:tr>
      <w:tr w:rsidR="00B20CB0" w:rsidRPr="00706668" w14:paraId="30C2E81E" w14:textId="77777777" w:rsidTr="009F39F9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26B1A69" w14:textId="251D8EBC" w:rsidR="00B20CB0" w:rsidRPr="00706668" w:rsidRDefault="00B20CB0" w:rsidP="00B20CB0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6668">
              <w:rPr>
                <w:rFonts w:cstheme="minorHAnsi"/>
                <w:b/>
                <w:bCs/>
                <w:sz w:val="20"/>
                <w:szCs w:val="20"/>
              </w:rPr>
              <w:t>Aktivnost A100004 Provođenje izbora za općinu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1E0D614" w14:textId="060C1249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981B65B" w14:textId="0AAB6DBA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16.000,00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03D798E" w14:textId="436A461D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16D14C6" w14:textId="1E74B710" w:rsidR="00B20CB0" w:rsidRPr="00706668" w:rsidRDefault="00B20CB0" w:rsidP="00B20CB0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706668">
              <w:rPr>
                <w:rFonts w:cstheme="minorHAnsi"/>
                <w:sz w:val="20"/>
                <w:szCs w:val="20"/>
              </w:rPr>
              <w:t>36.000,00</w:t>
            </w:r>
          </w:p>
        </w:tc>
      </w:tr>
      <w:tr w:rsidR="00B20CB0" w:rsidRPr="00706668" w14:paraId="461BEF45" w14:textId="77777777" w:rsidTr="009F39F9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F87DD" w14:textId="451609F2" w:rsidR="00B20CB0" w:rsidRPr="00706668" w:rsidRDefault="00B20CB0" w:rsidP="00B20CB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06668">
              <w:rPr>
                <w:rFonts w:eastAsia="Times New Roman" w:cstheme="minorHAnsi"/>
                <w:sz w:val="20"/>
                <w:szCs w:val="20"/>
                <w:lang w:eastAsia="hr-HR"/>
              </w:rPr>
              <w:t>Povećanje sredstava u skladu s povećanim troškovima provedbe aktivnosti.</w:t>
            </w:r>
          </w:p>
        </w:tc>
      </w:tr>
    </w:tbl>
    <w:p w14:paraId="4D45ED06" w14:textId="77777777" w:rsidR="004068D8" w:rsidRDefault="004068D8" w:rsidP="00706668">
      <w:pPr>
        <w:spacing w:after="0"/>
        <w:jc w:val="both"/>
        <w:rPr>
          <w:rFonts w:ascii="Arial" w:hAnsi="Arial" w:cs="Arial"/>
          <w:b/>
          <w:bCs/>
        </w:rPr>
      </w:pPr>
    </w:p>
    <w:sectPr w:rsidR="004068D8">
      <w:footerReference w:type="default" r:id="rId9"/>
      <w:footerReference w:type="first" r:id="rId10"/>
      <w:pgSz w:w="16838" w:h="11906" w:orient="landscape"/>
      <w:pgMar w:top="1418" w:right="1418" w:bottom="1418" w:left="1418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143C" w14:textId="77777777" w:rsidR="009D72EE" w:rsidRDefault="009D72EE">
      <w:pPr>
        <w:spacing w:after="0" w:line="240" w:lineRule="auto"/>
      </w:pPr>
      <w:r>
        <w:separator/>
      </w:r>
    </w:p>
  </w:endnote>
  <w:endnote w:type="continuationSeparator" w:id="0">
    <w:p w14:paraId="6C019AE0" w14:textId="77777777" w:rsidR="009D72EE" w:rsidRDefault="009D72EE">
      <w:pPr>
        <w:spacing w:after="0" w:line="240" w:lineRule="auto"/>
      </w:pPr>
      <w:r>
        <w:continuationSeparator/>
      </w:r>
    </w:p>
  </w:endnote>
  <w:endnote w:type="continuationNotice" w:id="1">
    <w:p w14:paraId="41EA2B97" w14:textId="77777777" w:rsidR="009D72EE" w:rsidRDefault="009D7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668540"/>
      <w:docPartObj>
        <w:docPartGallery w:val="Page Numbers (Bottom of Page)"/>
        <w:docPartUnique/>
      </w:docPartObj>
    </w:sdtPr>
    <w:sdtContent>
      <w:p w14:paraId="262E579A" w14:textId="77777777" w:rsidR="00D2566E" w:rsidRDefault="00173220">
        <w:pPr>
          <w:pStyle w:val="Podnoj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  <w:p w14:paraId="5AE36BB6" w14:textId="77777777" w:rsidR="00D2566E" w:rsidRDefault="00000000">
        <w:pPr>
          <w:pStyle w:val="Podnoj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615062"/>
      <w:docPartObj>
        <w:docPartGallery w:val="Page Numbers (Bottom of Page)"/>
        <w:docPartUnique/>
      </w:docPartObj>
    </w:sdtPr>
    <w:sdtContent>
      <w:p w14:paraId="06B5DA1E" w14:textId="77777777" w:rsidR="00D2566E" w:rsidRDefault="00173220">
        <w:pPr>
          <w:pStyle w:val="Podnoj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t>4</w:t>
        </w:r>
        <w:r>
          <w:fldChar w:fldCharType="end"/>
        </w:r>
      </w:p>
      <w:p w14:paraId="097D60DB" w14:textId="77777777" w:rsidR="00D2566E" w:rsidRDefault="00000000">
        <w:pPr>
          <w:pStyle w:val="Podnoj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CB63" w14:textId="77777777" w:rsidR="00D2566E" w:rsidRDefault="00D25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ECB2" w14:textId="77777777" w:rsidR="009D72EE" w:rsidRDefault="009D72EE">
      <w:pPr>
        <w:spacing w:after="0" w:line="240" w:lineRule="auto"/>
      </w:pPr>
      <w:r>
        <w:separator/>
      </w:r>
    </w:p>
  </w:footnote>
  <w:footnote w:type="continuationSeparator" w:id="0">
    <w:p w14:paraId="54A72DFC" w14:textId="77777777" w:rsidR="009D72EE" w:rsidRDefault="009D72EE">
      <w:pPr>
        <w:spacing w:after="0" w:line="240" w:lineRule="auto"/>
      </w:pPr>
      <w:r>
        <w:continuationSeparator/>
      </w:r>
    </w:p>
  </w:footnote>
  <w:footnote w:type="continuationNotice" w:id="1">
    <w:p w14:paraId="7733BB07" w14:textId="77777777" w:rsidR="009D72EE" w:rsidRDefault="009D72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112C"/>
    <w:multiLevelType w:val="multilevel"/>
    <w:tmpl w:val="E0CA67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01B6021"/>
    <w:multiLevelType w:val="hybridMultilevel"/>
    <w:tmpl w:val="C2445790"/>
    <w:lvl w:ilvl="0" w:tplc="7F28A34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1FEF"/>
    <w:multiLevelType w:val="hybridMultilevel"/>
    <w:tmpl w:val="AB52F6AC"/>
    <w:lvl w:ilvl="0" w:tplc="1DA839FA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E33E4"/>
    <w:multiLevelType w:val="multilevel"/>
    <w:tmpl w:val="E432DB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3D6CDB"/>
    <w:multiLevelType w:val="multilevel"/>
    <w:tmpl w:val="B03207E2"/>
    <w:lvl w:ilvl="0">
      <w:start w:val="43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0158563">
    <w:abstractNumId w:val="0"/>
  </w:num>
  <w:num w:numId="2" w16cid:durableId="194773527">
    <w:abstractNumId w:val="4"/>
  </w:num>
  <w:num w:numId="3" w16cid:durableId="148791609">
    <w:abstractNumId w:val="3"/>
  </w:num>
  <w:num w:numId="4" w16cid:durableId="150221878">
    <w:abstractNumId w:val="1"/>
  </w:num>
  <w:num w:numId="5" w16cid:durableId="1754887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6E"/>
    <w:rsid w:val="0000127A"/>
    <w:rsid w:val="000014DB"/>
    <w:rsid w:val="00006071"/>
    <w:rsid w:val="0000781D"/>
    <w:rsid w:val="00007D19"/>
    <w:rsid w:val="00010DBD"/>
    <w:rsid w:val="00011D6E"/>
    <w:rsid w:val="00014225"/>
    <w:rsid w:val="00016589"/>
    <w:rsid w:val="000237E0"/>
    <w:rsid w:val="000248EA"/>
    <w:rsid w:val="00035DAC"/>
    <w:rsid w:val="00037D79"/>
    <w:rsid w:val="000407BA"/>
    <w:rsid w:val="00041305"/>
    <w:rsid w:val="000413CF"/>
    <w:rsid w:val="000420C6"/>
    <w:rsid w:val="00044402"/>
    <w:rsid w:val="0004561E"/>
    <w:rsid w:val="00046B0B"/>
    <w:rsid w:val="0004732D"/>
    <w:rsid w:val="000521C6"/>
    <w:rsid w:val="000534FA"/>
    <w:rsid w:val="00054563"/>
    <w:rsid w:val="00055B82"/>
    <w:rsid w:val="0005687B"/>
    <w:rsid w:val="00060804"/>
    <w:rsid w:val="00062358"/>
    <w:rsid w:val="000625BC"/>
    <w:rsid w:val="00063100"/>
    <w:rsid w:val="00063920"/>
    <w:rsid w:val="00064ED4"/>
    <w:rsid w:val="000659BF"/>
    <w:rsid w:val="00067FC2"/>
    <w:rsid w:val="000702A2"/>
    <w:rsid w:val="00070CC2"/>
    <w:rsid w:val="00075327"/>
    <w:rsid w:val="000813FA"/>
    <w:rsid w:val="00082616"/>
    <w:rsid w:val="00085CC6"/>
    <w:rsid w:val="00086A48"/>
    <w:rsid w:val="00087F1D"/>
    <w:rsid w:val="000904EB"/>
    <w:rsid w:val="00091489"/>
    <w:rsid w:val="0009150E"/>
    <w:rsid w:val="000933E7"/>
    <w:rsid w:val="000938DC"/>
    <w:rsid w:val="00096307"/>
    <w:rsid w:val="000A1373"/>
    <w:rsid w:val="000A30A2"/>
    <w:rsid w:val="000A406B"/>
    <w:rsid w:val="000A45DE"/>
    <w:rsid w:val="000A6CEC"/>
    <w:rsid w:val="000A6E67"/>
    <w:rsid w:val="000B158B"/>
    <w:rsid w:val="000B1CA2"/>
    <w:rsid w:val="000B1D15"/>
    <w:rsid w:val="000B4860"/>
    <w:rsid w:val="000B6199"/>
    <w:rsid w:val="000C14C3"/>
    <w:rsid w:val="000C1FE1"/>
    <w:rsid w:val="000C3846"/>
    <w:rsid w:val="000C7BB8"/>
    <w:rsid w:val="000D2C62"/>
    <w:rsid w:val="000D558A"/>
    <w:rsid w:val="000E1811"/>
    <w:rsid w:val="000E3B06"/>
    <w:rsid w:val="000E49BD"/>
    <w:rsid w:val="000E4BA1"/>
    <w:rsid w:val="000E53B6"/>
    <w:rsid w:val="000E61CD"/>
    <w:rsid w:val="000E6977"/>
    <w:rsid w:val="000E7831"/>
    <w:rsid w:val="000F0472"/>
    <w:rsid w:val="000F051A"/>
    <w:rsid w:val="000F4691"/>
    <w:rsid w:val="000F5883"/>
    <w:rsid w:val="000F7E14"/>
    <w:rsid w:val="00100051"/>
    <w:rsid w:val="00101E31"/>
    <w:rsid w:val="0010369F"/>
    <w:rsid w:val="00103A9C"/>
    <w:rsid w:val="0010427C"/>
    <w:rsid w:val="00104D7B"/>
    <w:rsid w:val="00105FA6"/>
    <w:rsid w:val="00106A48"/>
    <w:rsid w:val="001076B3"/>
    <w:rsid w:val="00110045"/>
    <w:rsid w:val="001118F3"/>
    <w:rsid w:val="001165ED"/>
    <w:rsid w:val="00117066"/>
    <w:rsid w:val="00122AC4"/>
    <w:rsid w:val="00122F9D"/>
    <w:rsid w:val="00125BCF"/>
    <w:rsid w:val="00125F7F"/>
    <w:rsid w:val="00130B18"/>
    <w:rsid w:val="00131072"/>
    <w:rsid w:val="001318FF"/>
    <w:rsid w:val="00131A4F"/>
    <w:rsid w:val="00131EC6"/>
    <w:rsid w:val="0013209A"/>
    <w:rsid w:val="00132F48"/>
    <w:rsid w:val="0013497D"/>
    <w:rsid w:val="0014188F"/>
    <w:rsid w:val="00142739"/>
    <w:rsid w:val="00142D27"/>
    <w:rsid w:val="00146B47"/>
    <w:rsid w:val="00151588"/>
    <w:rsid w:val="0015165C"/>
    <w:rsid w:val="00154ED4"/>
    <w:rsid w:val="00155160"/>
    <w:rsid w:val="001566D5"/>
    <w:rsid w:val="001574BD"/>
    <w:rsid w:val="001614BF"/>
    <w:rsid w:val="00163C72"/>
    <w:rsid w:val="00165959"/>
    <w:rsid w:val="001675EC"/>
    <w:rsid w:val="00173220"/>
    <w:rsid w:val="001734D8"/>
    <w:rsid w:val="001759DB"/>
    <w:rsid w:val="00175B3A"/>
    <w:rsid w:val="0017616B"/>
    <w:rsid w:val="00180D54"/>
    <w:rsid w:val="00180EB8"/>
    <w:rsid w:val="001849B3"/>
    <w:rsid w:val="00184A05"/>
    <w:rsid w:val="0018602E"/>
    <w:rsid w:val="00192B03"/>
    <w:rsid w:val="001949D5"/>
    <w:rsid w:val="001A0049"/>
    <w:rsid w:val="001A1641"/>
    <w:rsid w:val="001A2DB0"/>
    <w:rsid w:val="001A2FD5"/>
    <w:rsid w:val="001A606B"/>
    <w:rsid w:val="001B2417"/>
    <w:rsid w:val="001B38DD"/>
    <w:rsid w:val="001B4BE4"/>
    <w:rsid w:val="001B5185"/>
    <w:rsid w:val="001C0026"/>
    <w:rsid w:val="001C0DE9"/>
    <w:rsid w:val="001C18EC"/>
    <w:rsid w:val="001C1A37"/>
    <w:rsid w:val="001C40F2"/>
    <w:rsid w:val="001C512D"/>
    <w:rsid w:val="001C59EC"/>
    <w:rsid w:val="001C6534"/>
    <w:rsid w:val="001D045B"/>
    <w:rsid w:val="001D0DFA"/>
    <w:rsid w:val="001D36AE"/>
    <w:rsid w:val="001D52BD"/>
    <w:rsid w:val="001E08D9"/>
    <w:rsid w:val="001E3185"/>
    <w:rsid w:val="001E3C52"/>
    <w:rsid w:val="001E7588"/>
    <w:rsid w:val="001E7831"/>
    <w:rsid w:val="001F01E9"/>
    <w:rsid w:val="001F349C"/>
    <w:rsid w:val="001F3749"/>
    <w:rsid w:val="001F3C29"/>
    <w:rsid w:val="001F6440"/>
    <w:rsid w:val="001F7940"/>
    <w:rsid w:val="00200806"/>
    <w:rsid w:val="002021FB"/>
    <w:rsid w:val="00204865"/>
    <w:rsid w:val="002063C8"/>
    <w:rsid w:val="00207461"/>
    <w:rsid w:val="00210C2E"/>
    <w:rsid w:val="00211040"/>
    <w:rsid w:val="00213B11"/>
    <w:rsid w:val="00213FC3"/>
    <w:rsid w:val="00214A46"/>
    <w:rsid w:val="00215B84"/>
    <w:rsid w:val="00215EEE"/>
    <w:rsid w:val="00220A26"/>
    <w:rsid w:val="0022165B"/>
    <w:rsid w:val="00221C9B"/>
    <w:rsid w:val="00221DA6"/>
    <w:rsid w:val="00222FDC"/>
    <w:rsid w:val="00224800"/>
    <w:rsid w:val="002255D1"/>
    <w:rsid w:val="002305D8"/>
    <w:rsid w:val="00230619"/>
    <w:rsid w:val="00230AC3"/>
    <w:rsid w:val="00230C64"/>
    <w:rsid w:val="00231E64"/>
    <w:rsid w:val="002339B9"/>
    <w:rsid w:val="00234193"/>
    <w:rsid w:val="00236722"/>
    <w:rsid w:val="00240848"/>
    <w:rsid w:val="00241A86"/>
    <w:rsid w:val="00242F1B"/>
    <w:rsid w:val="002431CE"/>
    <w:rsid w:val="00243598"/>
    <w:rsid w:val="00247B34"/>
    <w:rsid w:val="00247F8C"/>
    <w:rsid w:val="002501C5"/>
    <w:rsid w:val="00252C39"/>
    <w:rsid w:val="002550CE"/>
    <w:rsid w:val="002576C1"/>
    <w:rsid w:val="00260532"/>
    <w:rsid w:val="00260917"/>
    <w:rsid w:val="002655DC"/>
    <w:rsid w:val="002706DE"/>
    <w:rsid w:val="00270E66"/>
    <w:rsid w:val="0027108A"/>
    <w:rsid w:val="00271FDB"/>
    <w:rsid w:val="00273AC3"/>
    <w:rsid w:val="00276A8D"/>
    <w:rsid w:val="0027765E"/>
    <w:rsid w:val="00280F89"/>
    <w:rsid w:val="002849CF"/>
    <w:rsid w:val="0028541D"/>
    <w:rsid w:val="002855F2"/>
    <w:rsid w:val="0028643D"/>
    <w:rsid w:val="002867B5"/>
    <w:rsid w:val="00287013"/>
    <w:rsid w:val="002872FF"/>
    <w:rsid w:val="00290D67"/>
    <w:rsid w:val="00291B98"/>
    <w:rsid w:val="00292F38"/>
    <w:rsid w:val="00294AC8"/>
    <w:rsid w:val="00295C52"/>
    <w:rsid w:val="00296BEE"/>
    <w:rsid w:val="002A074A"/>
    <w:rsid w:val="002A1CC9"/>
    <w:rsid w:val="002A222F"/>
    <w:rsid w:val="002A36D8"/>
    <w:rsid w:val="002A3ADE"/>
    <w:rsid w:val="002A43EF"/>
    <w:rsid w:val="002A5347"/>
    <w:rsid w:val="002A5BD0"/>
    <w:rsid w:val="002B0416"/>
    <w:rsid w:val="002B2477"/>
    <w:rsid w:val="002B2A32"/>
    <w:rsid w:val="002B4A86"/>
    <w:rsid w:val="002C0B81"/>
    <w:rsid w:val="002C66BC"/>
    <w:rsid w:val="002D1993"/>
    <w:rsid w:val="002D1CB7"/>
    <w:rsid w:val="002D1F2F"/>
    <w:rsid w:val="002D414A"/>
    <w:rsid w:val="002D73A6"/>
    <w:rsid w:val="002E0AEF"/>
    <w:rsid w:val="002E3697"/>
    <w:rsid w:val="002E4959"/>
    <w:rsid w:val="002E5FA8"/>
    <w:rsid w:val="002E7BAF"/>
    <w:rsid w:val="002F0B43"/>
    <w:rsid w:val="002F133C"/>
    <w:rsid w:val="002F1733"/>
    <w:rsid w:val="002F2014"/>
    <w:rsid w:val="002F3CE4"/>
    <w:rsid w:val="002F3D34"/>
    <w:rsid w:val="002F43F3"/>
    <w:rsid w:val="002F5F28"/>
    <w:rsid w:val="003000D0"/>
    <w:rsid w:val="00302170"/>
    <w:rsid w:val="003064F8"/>
    <w:rsid w:val="00314135"/>
    <w:rsid w:val="00316129"/>
    <w:rsid w:val="0031782E"/>
    <w:rsid w:val="00317DCA"/>
    <w:rsid w:val="00317F95"/>
    <w:rsid w:val="00320208"/>
    <w:rsid w:val="0032041C"/>
    <w:rsid w:val="00320CC5"/>
    <w:rsid w:val="003214F9"/>
    <w:rsid w:val="00321C72"/>
    <w:rsid w:val="0032574D"/>
    <w:rsid w:val="00330ADC"/>
    <w:rsid w:val="00330C25"/>
    <w:rsid w:val="00332287"/>
    <w:rsid w:val="00335D9F"/>
    <w:rsid w:val="003368CB"/>
    <w:rsid w:val="00343083"/>
    <w:rsid w:val="00344546"/>
    <w:rsid w:val="00344BDD"/>
    <w:rsid w:val="00345463"/>
    <w:rsid w:val="00351914"/>
    <w:rsid w:val="00352AA5"/>
    <w:rsid w:val="0035713A"/>
    <w:rsid w:val="003613DF"/>
    <w:rsid w:val="003636FE"/>
    <w:rsid w:val="003637F7"/>
    <w:rsid w:val="00363884"/>
    <w:rsid w:val="0036440E"/>
    <w:rsid w:val="003650A9"/>
    <w:rsid w:val="00370688"/>
    <w:rsid w:val="0037460A"/>
    <w:rsid w:val="0037530C"/>
    <w:rsid w:val="003753A6"/>
    <w:rsid w:val="00375440"/>
    <w:rsid w:val="00380747"/>
    <w:rsid w:val="0038103A"/>
    <w:rsid w:val="00381BF8"/>
    <w:rsid w:val="00382EDC"/>
    <w:rsid w:val="00383929"/>
    <w:rsid w:val="00386D09"/>
    <w:rsid w:val="00390ECC"/>
    <w:rsid w:val="00391BA6"/>
    <w:rsid w:val="003932C9"/>
    <w:rsid w:val="00393CD3"/>
    <w:rsid w:val="003960E2"/>
    <w:rsid w:val="003968A1"/>
    <w:rsid w:val="003A28FB"/>
    <w:rsid w:val="003A53F2"/>
    <w:rsid w:val="003A5D12"/>
    <w:rsid w:val="003A75D2"/>
    <w:rsid w:val="003A7956"/>
    <w:rsid w:val="003B1060"/>
    <w:rsid w:val="003B6F5D"/>
    <w:rsid w:val="003C0B7B"/>
    <w:rsid w:val="003C2EDD"/>
    <w:rsid w:val="003C6327"/>
    <w:rsid w:val="003C764E"/>
    <w:rsid w:val="003D2F9B"/>
    <w:rsid w:val="003D2FD6"/>
    <w:rsid w:val="003D3977"/>
    <w:rsid w:val="003D61AD"/>
    <w:rsid w:val="003E1501"/>
    <w:rsid w:val="003E1943"/>
    <w:rsid w:val="003E1EB2"/>
    <w:rsid w:val="003E22CC"/>
    <w:rsid w:val="003E33E4"/>
    <w:rsid w:val="003E3872"/>
    <w:rsid w:val="003F0F42"/>
    <w:rsid w:val="003F2825"/>
    <w:rsid w:val="003F2F02"/>
    <w:rsid w:val="003F3B3C"/>
    <w:rsid w:val="003F4D16"/>
    <w:rsid w:val="003F67CF"/>
    <w:rsid w:val="003F6D86"/>
    <w:rsid w:val="003F7E46"/>
    <w:rsid w:val="0040067A"/>
    <w:rsid w:val="00400BB3"/>
    <w:rsid w:val="004033A2"/>
    <w:rsid w:val="004047B5"/>
    <w:rsid w:val="004068D8"/>
    <w:rsid w:val="00407A79"/>
    <w:rsid w:val="00413D9B"/>
    <w:rsid w:val="0041506F"/>
    <w:rsid w:val="00417756"/>
    <w:rsid w:val="00420A1C"/>
    <w:rsid w:val="00425B46"/>
    <w:rsid w:val="004304AD"/>
    <w:rsid w:val="00432C19"/>
    <w:rsid w:val="00432C40"/>
    <w:rsid w:val="004350D2"/>
    <w:rsid w:val="00437506"/>
    <w:rsid w:val="00437FEE"/>
    <w:rsid w:val="004403C7"/>
    <w:rsid w:val="00444376"/>
    <w:rsid w:val="004466FC"/>
    <w:rsid w:val="004531D7"/>
    <w:rsid w:val="0045552C"/>
    <w:rsid w:val="004561B5"/>
    <w:rsid w:val="0046306C"/>
    <w:rsid w:val="0046723E"/>
    <w:rsid w:val="00472CF8"/>
    <w:rsid w:val="0047363D"/>
    <w:rsid w:val="00473918"/>
    <w:rsid w:val="00473AC9"/>
    <w:rsid w:val="0047457B"/>
    <w:rsid w:val="00477145"/>
    <w:rsid w:val="004818D0"/>
    <w:rsid w:val="004824FF"/>
    <w:rsid w:val="0048393F"/>
    <w:rsid w:val="00484164"/>
    <w:rsid w:val="00484802"/>
    <w:rsid w:val="004850F7"/>
    <w:rsid w:val="00485885"/>
    <w:rsid w:val="00485C14"/>
    <w:rsid w:val="00486940"/>
    <w:rsid w:val="004913E5"/>
    <w:rsid w:val="00491744"/>
    <w:rsid w:val="00491D80"/>
    <w:rsid w:val="00492B1D"/>
    <w:rsid w:val="00493C18"/>
    <w:rsid w:val="00494439"/>
    <w:rsid w:val="0049522F"/>
    <w:rsid w:val="00495569"/>
    <w:rsid w:val="00496E49"/>
    <w:rsid w:val="004978AF"/>
    <w:rsid w:val="004A0EE7"/>
    <w:rsid w:val="004A1F01"/>
    <w:rsid w:val="004A363D"/>
    <w:rsid w:val="004A603E"/>
    <w:rsid w:val="004A733C"/>
    <w:rsid w:val="004B0D73"/>
    <w:rsid w:val="004B3AB1"/>
    <w:rsid w:val="004B3C20"/>
    <w:rsid w:val="004B4215"/>
    <w:rsid w:val="004B58C6"/>
    <w:rsid w:val="004B7712"/>
    <w:rsid w:val="004C2024"/>
    <w:rsid w:val="004C2040"/>
    <w:rsid w:val="004C28BE"/>
    <w:rsid w:val="004C3BD8"/>
    <w:rsid w:val="004C4793"/>
    <w:rsid w:val="004C481F"/>
    <w:rsid w:val="004C4D25"/>
    <w:rsid w:val="004C4F55"/>
    <w:rsid w:val="004C7551"/>
    <w:rsid w:val="004C76AE"/>
    <w:rsid w:val="004D1CD8"/>
    <w:rsid w:val="004D210F"/>
    <w:rsid w:val="004D313F"/>
    <w:rsid w:val="004D41EC"/>
    <w:rsid w:val="004D4D18"/>
    <w:rsid w:val="004E130E"/>
    <w:rsid w:val="004E31D2"/>
    <w:rsid w:val="004E4BBA"/>
    <w:rsid w:val="004E60A8"/>
    <w:rsid w:val="004E6C23"/>
    <w:rsid w:val="004F05A2"/>
    <w:rsid w:val="004F100E"/>
    <w:rsid w:val="004F5C87"/>
    <w:rsid w:val="004F619D"/>
    <w:rsid w:val="004F7893"/>
    <w:rsid w:val="0050063C"/>
    <w:rsid w:val="00505204"/>
    <w:rsid w:val="00505FF8"/>
    <w:rsid w:val="00510AB5"/>
    <w:rsid w:val="00510E7D"/>
    <w:rsid w:val="00511871"/>
    <w:rsid w:val="005212F8"/>
    <w:rsid w:val="00522ECF"/>
    <w:rsid w:val="00523ECC"/>
    <w:rsid w:val="00524A3C"/>
    <w:rsid w:val="00526BFC"/>
    <w:rsid w:val="005303DF"/>
    <w:rsid w:val="00532298"/>
    <w:rsid w:val="0053249B"/>
    <w:rsid w:val="00532C48"/>
    <w:rsid w:val="00533740"/>
    <w:rsid w:val="005342C5"/>
    <w:rsid w:val="00535783"/>
    <w:rsid w:val="00537A32"/>
    <w:rsid w:val="0054051A"/>
    <w:rsid w:val="00540DB1"/>
    <w:rsid w:val="00540EFC"/>
    <w:rsid w:val="0054157B"/>
    <w:rsid w:val="00542B91"/>
    <w:rsid w:val="00543BA4"/>
    <w:rsid w:val="0054449E"/>
    <w:rsid w:val="0054530D"/>
    <w:rsid w:val="00547E14"/>
    <w:rsid w:val="00551653"/>
    <w:rsid w:val="00552A35"/>
    <w:rsid w:val="005609EC"/>
    <w:rsid w:val="00560E8F"/>
    <w:rsid w:val="00563A67"/>
    <w:rsid w:val="005654A9"/>
    <w:rsid w:val="00567B38"/>
    <w:rsid w:val="00572DA1"/>
    <w:rsid w:val="00573FBB"/>
    <w:rsid w:val="0057472C"/>
    <w:rsid w:val="00576B98"/>
    <w:rsid w:val="00577223"/>
    <w:rsid w:val="00580945"/>
    <w:rsid w:val="005820A2"/>
    <w:rsid w:val="00587580"/>
    <w:rsid w:val="0059470D"/>
    <w:rsid w:val="00595258"/>
    <w:rsid w:val="005A713D"/>
    <w:rsid w:val="005A7D3F"/>
    <w:rsid w:val="005B1BD6"/>
    <w:rsid w:val="005B25E3"/>
    <w:rsid w:val="005B5AD6"/>
    <w:rsid w:val="005B62E8"/>
    <w:rsid w:val="005C337C"/>
    <w:rsid w:val="005C46CF"/>
    <w:rsid w:val="005C783E"/>
    <w:rsid w:val="005D24DE"/>
    <w:rsid w:val="005D3B77"/>
    <w:rsid w:val="005D74CF"/>
    <w:rsid w:val="005E30E0"/>
    <w:rsid w:val="005E3477"/>
    <w:rsid w:val="005E72E4"/>
    <w:rsid w:val="005F168D"/>
    <w:rsid w:val="005F5396"/>
    <w:rsid w:val="005F698B"/>
    <w:rsid w:val="005F7BE9"/>
    <w:rsid w:val="006016AD"/>
    <w:rsid w:val="00601DC5"/>
    <w:rsid w:val="00605FB4"/>
    <w:rsid w:val="00606C9E"/>
    <w:rsid w:val="0061220D"/>
    <w:rsid w:val="00612623"/>
    <w:rsid w:val="006128B8"/>
    <w:rsid w:val="0061322C"/>
    <w:rsid w:val="00615633"/>
    <w:rsid w:val="00616E93"/>
    <w:rsid w:val="006177C3"/>
    <w:rsid w:val="00617E05"/>
    <w:rsid w:val="006217E5"/>
    <w:rsid w:val="00622F87"/>
    <w:rsid w:val="00626021"/>
    <w:rsid w:val="0062643B"/>
    <w:rsid w:val="00630002"/>
    <w:rsid w:val="00631293"/>
    <w:rsid w:val="0063175C"/>
    <w:rsid w:val="0063376E"/>
    <w:rsid w:val="006344B0"/>
    <w:rsid w:val="00636EB2"/>
    <w:rsid w:val="00642B5B"/>
    <w:rsid w:val="0064428B"/>
    <w:rsid w:val="00644556"/>
    <w:rsid w:val="00644CCF"/>
    <w:rsid w:val="006450E5"/>
    <w:rsid w:val="00645881"/>
    <w:rsid w:val="00646255"/>
    <w:rsid w:val="0064646D"/>
    <w:rsid w:val="00653C41"/>
    <w:rsid w:val="00656D31"/>
    <w:rsid w:val="00656E94"/>
    <w:rsid w:val="00660A31"/>
    <w:rsid w:val="00662CB1"/>
    <w:rsid w:val="006656D5"/>
    <w:rsid w:val="00671C06"/>
    <w:rsid w:val="00672E9F"/>
    <w:rsid w:val="00677FAA"/>
    <w:rsid w:val="00685A52"/>
    <w:rsid w:val="00685B91"/>
    <w:rsid w:val="00693CC8"/>
    <w:rsid w:val="006949D9"/>
    <w:rsid w:val="00694D8D"/>
    <w:rsid w:val="00695A54"/>
    <w:rsid w:val="00696797"/>
    <w:rsid w:val="0069679D"/>
    <w:rsid w:val="006973AC"/>
    <w:rsid w:val="00697D49"/>
    <w:rsid w:val="006A0C8C"/>
    <w:rsid w:val="006A1F54"/>
    <w:rsid w:val="006A3C00"/>
    <w:rsid w:val="006A5334"/>
    <w:rsid w:val="006A5575"/>
    <w:rsid w:val="006A673F"/>
    <w:rsid w:val="006B1026"/>
    <w:rsid w:val="006B3FA8"/>
    <w:rsid w:val="006B586B"/>
    <w:rsid w:val="006B5FAA"/>
    <w:rsid w:val="006C0D06"/>
    <w:rsid w:val="006C2679"/>
    <w:rsid w:val="006C3E19"/>
    <w:rsid w:val="006C4E87"/>
    <w:rsid w:val="006C5784"/>
    <w:rsid w:val="006C603A"/>
    <w:rsid w:val="006C631D"/>
    <w:rsid w:val="006D02EC"/>
    <w:rsid w:val="006D26B4"/>
    <w:rsid w:val="006D74EE"/>
    <w:rsid w:val="006D7ED8"/>
    <w:rsid w:val="006E24BF"/>
    <w:rsid w:val="006E29E7"/>
    <w:rsid w:val="006E2CD2"/>
    <w:rsid w:val="006E4CFF"/>
    <w:rsid w:val="006E5A62"/>
    <w:rsid w:val="006E63C3"/>
    <w:rsid w:val="006E7997"/>
    <w:rsid w:val="006E7FAD"/>
    <w:rsid w:val="006F0060"/>
    <w:rsid w:val="006F0B11"/>
    <w:rsid w:val="006F0BAF"/>
    <w:rsid w:val="006F20BF"/>
    <w:rsid w:val="006F7246"/>
    <w:rsid w:val="0070518C"/>
    <w:rsid w:val="007063E1"/>
    <w:rsid w:val="00706668"/>
    <w:rsid w:val="00706B8E"/>
    <w:rsid w:val="0071236D"/>
    <w:rsid w:val="007131FF"/>
    <w:rsid w:val="007137CC"/>
    <w:rsid w:val="00716AF1"/>
    <w:rsid w:val="00717AE1"/>
    <w:rsid w:val="00724598"/>
    <w:rsid w:val="00726114"/>
    <w:rsid w:val="00732171"/>
    <w:rsid w:val="00732577"/>
    <w:rsid w:val="00732837"/>
    <w:rsid w:val="0073462E"/>
    <w:rsid w:val="00737B33"/>
    <w:rsid w:val="00740239"/>
    <w:rsid w:val="00740843"/>
    <w:rsid w:val="007414B0"/>
    <w:rsid w:val="007432DC"/>
    <w:rsid w:val="00743CA0"/>
    <w:rsid w:val="00743FE0"/>
    <w:rsid w:val="00744390"/>
    <w:rsid w:val="00744491"/>
    <w:rsid w:val="00745FF7"/>
    <w:rsid w:val="00746CCF"/>
    <w:rsid w:val="00747C13"/>
    <w:rsid w:val="007506B1"/>
    <w:rsid w:val="00750EB1"/>
    <w:rsid w:val="007528FB"/>
    <w:rsid w:val="00752923"/>
    <w:rsid w:val="007558CC"/>
    <w:rsid w:val="00755F76"/>
    <w:rsid w:val="00761F35"/>
    <w:rsid w:val="007625D1"/>
    <w:rsid w:val="00763810"/>
    <w:rsid w:val="00763E2D"/>
    <w:rsid w:val="00765A33"/>
    <w:rsid w:val="007662CD"/>
    <w:rsid w:val="007664AB"/>
    <w:rsid w:val="007665E0"/>
    <w:rsid w:val="00767B31"/>
    <w:rsid w:val="00770476"/>
    <w:rsid w:val="00770E86"/>
    <w:rsid w:val="00772A9C"/>
    <w:rsid w:val="00776425"/>
    <w:rsid w:val="00784A84"/>
    <w:rsid w:val="00784D6F"/>
    <w:rsid w:val="00785D90"/>
    <w:rsid w:val="00791551"/>
    <w:rsid w:val="00791B5A"/>
    <w:rsid w:val="0079260D"/>
    <w:rsid w:val="00792975"/>
    <w:rsid w:val="00792B37"/>
    <w:rsid w:val="007940C5"/>
    <w:rsid w:val="00796F13"/>
    <w:rsid w:val="007A2518"/>
    <w:rsid w:val="007A3AD6"/>
    <w:rsid w:val="007A3E1C"/>
    <w:rsid w:val="007A3FE8"/>
    <w:rsid w:val="007A47E2"/>
    <w:rsid w:val="007A6282"/>
    <w:rsid w:val="007B1C65"/>
    <w:rsid w:val="007B3908"/>
    <w:rsid w:val="007B3CF9"/>
    <w:rsid w:val="007C535D"/>
    <w:rsid w:val="007C5E0D"/>
    <w:rsid w:val="007C692E"/>
    <w:rsid w:val="007D3260"/>
    <w:rsid w:val="007D4477"/>
    <w:rsid w:val="007D45C4"/>
    <w:rsid w:val="007D492D"/>
    <w:rsid w:val="007D550C"/>
    <w:rsid w:val="007D6A5A"/>
    <w:rsid w:val="007E09BB"/>
    <w:rsid w:val="007E1EE1"/>
    <w:rsid w:val="007E1F22"/>
    <w:rsid w:val="007E6F8C"/>
    <w:rsid w:val="007E74D4"/>
    <w:rsid w:val="007F10DE"/>
    <w:rsid w:val="007F12E8"/>
    <w:rsid w:val="007F2A7E"/>
    <w:rsid w:val="007F6277"/>
    <w:rsid w:val="007F646C"/>
    <w:rsid w:val="007F69B7"/>
    <w:rsid w:val="00800E9C"/>
    <w:rsid w:val="00804CC3"/>
    <w:rsid w:val="00806CD3"/>
    <w:rsid w:val="008123C9"/>
    <w:rsid w:val="008139A5"/>
    <w:rsid w:val="0081574E"/>
    <w:rsid w:val="00816620"/>
    <w:rsid w:val="00817F6D"/>
    <w:rsid w:val="0082002E"/>
    <w:rsid w:val="00820C91"/>
    <w:rsid w:val="00823D28"/>
    <w:rsid w:val="00825689"/>
    <w:rsid w:val="00826CBF"/>
    <w:rsid w:val="00827D12"/>
    <w:rsid w:val="00830B21"/>
    <w:rsid w:val="008312B4"/>
    <w:rsid w:val="0083142F"/>
    <w:rsid w:val="00832E7D"/>
    <w:rsid w:val="00833D9C"/>
    <w:rsid w:val="0083459B"/>
    <w:rsid w:val="00836E2D"/>
    <w:rsid w:val="00841688"/>
    <w:rsid w:val="008438D4"/>
    <w:rsid w:val="0084462C"/>
    <w:rsid w:val="00844E3D"/>
    <w:rsid w:val="00847FEB"/>
    <w:rsid w:val="00850043"/>
    <w:rsid w:val="00850E67"/>
    <w:rsid w:val="00850F76"/>
    <w:rsid w:val="00856579"/>
    <w:rsid w:val="00857DE6"/>
    <w:rsid w:val="00857EDD"/>
    <w:rsid w:val="008602E2"/>
    <w:rsid w:val="008604D7"/>
    <w:rsid w:val="008609D2"/>
    <w:rsid w:val="008610D7"/>
    <w:rsid w:val="00862CE1"/>
    <w:rsid w:val="0086573C"/>
    <w:rsid w:val="00866426"/>
    <w:rsid w:val="00867B12"/>
    <w:rsid w:val="00867EF8"/>
    <w:rsid w:val="0087069B"/>
    <w:rsid w:val="008706BB"/>
    <w:rsid w:val="00870AF4"/>
    <w:rsid w:val="00870BB1"/>
    <w:rsid w:val="00871266"/>
    <w:rsid w:val="008720CC"/>
    <w:rsid w:val="008765DA"/>
    <w:rsid w:val="00876772"/>
    <w:rsid w:val="008830EE"/>
    <w:rsid w:val="00883D2D"/>
    <w:rsid w:val="008843CF"/>
    <w:rsid w:val="0088546B"/>
    <w:rsid w:val="0089347D"/>
    <w:rsid w:val="0089651B"/>
    <w:rsid w:val="00896DD0"/>
    <w:rsid w:val="008A0073"/>
    <w:rsid w:val="008A0EEE"/>
    <w:rsid w:val="008A2C5F"/>
    <w:rsid w:val="008A542B"/>
    <w:rsid w:val="008A5F8D"/>
    <w:rsid w:val="008B379D"/>
    <w:rsid w:val="008B4664"/>
    <w:rsid w:val="008B484A"/>
    <w:rsid w:val="008C18A4"/>
    <w:rsid w:val="008C4081"/>
    <w:rsid w:val="008C416E"/>
    <w:rsid w:val="008C4292"/>
    <w:rsid w:val="008C4E70"/>
    <w:rsid w:val="008C7C0F"/>
    <w:rsid w:val="008D1825"/>
    <w:rsid w:val="008D1D4A"/>
    <w:rsid w:val="008D3950"/>
    <w:rsid w:val="008D5612"/>
    <w:rsid w:val="008D6691"/>
    <w:rsid w:val="008E0C18"/>
    <w:rsid w:val="008E0E50"/>
    <w:rsid w:val="008E2F47"/>
    <w:rsid w:val="008E544F"/>
    <w:rsid w:val="008E5C36"/>
    <w:rsid w:val="008F1BBA"/>
    <w:rsid w:val="008F3FBB"/>
    <w:rsid w:val="008F4741"/>
    <w:rsid w:val="008F581F"/>
    <w:rsid w:val="00901700"/>
    <w:rsid w:val="009018BA"/>
    <w:rsid w:val="00903134"/>
    <w:rsid w:val="00903428"/>
    <w:rsid w:val="009047A6"/>
    <w:rsid w:val="009056C5"/>
    <w:rsid w:val="00911F27"/>
    <w:rsid w:val="0091233D"/>
    <w:rsid w:val="00912824"/>
    <w:rsid w:val="00912FD6"/>
    <w:rsid w:val="00913C81"/>
    <w:rsid w:val="00923B7F"/>
    <w:rsid w:val="009253DA"/>
    <w:rsid w:val="0092569E"/>
    <w:rsid w:val="00925BB3"/>
    <w:rsid w:val="0092609F"/>
    <w:rsid w:val="00927114"/>
    <w:rsid w:val="009354D7"/>
    <w:rsid w:val="00940079"/>
    <w:rsid w:val="00940855"/>
    <w:rsid w:val="0094253F"/>
    <w:rsid w:val="00947DCD"/>
    <w:rsid w:val="00950BD2"/>
    <w:rsid w:val="00951104"/>
    <w:rsid w:val="00955952"/>
    <w:rsid w:val="00955D49"/>
    <w:rsid w:val="00955D8C"/>
    <w:rsid w:val="00960B31"/>
    <w:rsid w:val="009619B5"/>
    <w:rsid w:val="00962EBD"/>
    <w:rsid w:val="009652F8"/>
    <w:rsid w:val="00966091"/>
    <w:rsid w:val="0096651D"/>
    <w:rsid w:val="0096678B"/>
    <w:rsid w:val="009670E1"/>
    <w:rsid w:val="00970263"/>
    <w:rsid w:val="00972014"/>
    <w:rsid w:val="0097241B"/>
    <w:rsid w:val="00972FCC"/>
    <w:rsid w:val="00974590"/>
    <w:rsid w:val="009755F7"/>
    <w:rsid w:val="009800D4"/>
    <w:rsid w:val="00980C21"/>
    <w:rsid w:val="009816E2"/>
    <w:rsid w:val="009830BD"/>
    <w:rsid w:val="00985AC1"/>
    <w:rsid w:val="00986CCF"/>
    <w:rsid w:val="00987F92"/>
    <w:rsid w:val="00990E48"/>
    <w:rsid w:val="00990FCB"/>
    <w:rsid w:val="009A4243"/>
    <w:rsid w:val="009A658D"/>
    <w:rsid w:val="009A6710"/>
    <w:rsid w:val="009B0CC2"/>
    <w:rsid w:val="009B3B22"/>
    <w:rsid w:val="009B456A"/>
    <w:rsid w:val="009B4B04"/>
    <w:rsid w:val="009C0C74"/>
    <w:rsid w:val="009C25A4"/>
    <w:rsid w:val="009C472D"/>
    <w:rsid w:val="009C51BD"/>
    <w:rsid w:val="009D01B2"/>
    <w:rsid w:val="009D092B"/>
    <w:rsid w:val="009D1504"/>
    <w:rsid w:val="009D2462"/>
    <w:rsid w:val="009D3B9A"/>
    <w:rsid w:val="009D5300"/>
    <w:rsid w:val="009D68F9"/>
    <w:rsid w:val="009D6A85"/>
    <w:rsid w:val="009D72EE"/>
    <w:rsid w:val="009D73ED"/>
    <w:rsid w:val="009D79BE"/>
    <w:rsid w:val="009E07CF"/>
    <w:rsid w:val="009E1BCC"/>
    <w:rsid w:val="009E2ADD"/>
    <w:rsid w:val="009E3B21"/>
    <w:rsid w:val="009E49CC"/>
    <w:rsid w:val="009E6850"/>
    <w:rsid w:val="009E7799"/>
    <w:rsid w:val="009F10CA"/>
    <w:rsid w:val="009F12B4"/>
    <w:rsid w:val="009F203E"/>
    <w:rsid w:val="009F39F9"/>
    <w:rsid w:val="009F3DC6"/>
    <w:rsid w:val="009F6D5B"/>
    <w:rsid w:val="009F7FDF"/>
    <w:rsid w:val="00A0012A"/>
    <w:rsid w:val="00A006CC"/>
    <w:rsid w:val="00A00E42"/>
    <w:rsid w:val="00A00F5A"/>
    <w:rsid w:val="00A01A66"/>
    <w:rsid w:val="00A03764"/>
    <w:rsid w:val="00A04649"/>
    <w:rsid w:val="00A10484"/>
    <w:rsid w:val="00A10542"/>
    <w:rsid w:val="00A11B39"/>
    <w:rsid w:val="00A14A8B"/>
    <w:rsid w:val="00A15213"/>
    <w:rsid w:val="00A16722"/>
    <w:rsid w:val="00A16AF1"/>
    <w:rsid w:val="00A17117"/>
    <w:rsid w:val="00A20EEE"/>
    <w:rsid w:val="00A2366D"/>
    <w:rsid w:val="00A23E9F"/>
    <w:rsid w:val="00A30A9D"/>
    <w:rsid w:val="00A31573"/>
    <w:rsid w:val="00A31963"/>
    <w:rsid w:val="00A33266"/>
    <w:rsid w:val="00A33D16"/>
    <w:rsid w:val="00A347B8"/>
    <w:rsid w:val="00A34C46"/>
    <w:rsid w:val="00A416BD"/>
    <w:rsid w:val="00A45FC9"/>
    <w:rsid w:val="00A50CD0"/>
    <w:rsid w:val="00A50FCB"/>
    <w:rsid w:val="00A54209"/>
    <w:rsid w:val="00A54D16"/>
    <w:rsid w:val="00A552E1"/>
    <w:rsid w:val="00A565C4"/>
    <w:rsid w:val="00A57926"/>
    <w:rsid w:val="00A605E8"/>
    <w:rsid w:val="00A60FB8"/>
    <w:rsid w:val="00A63D4F"/>
    <w:rsid w:val="00A63DA1"/>
    <w:rsid w:val="00A6618F"/>
    <w:rsid w:val="00A672C9"/>
    <w:rsid w:val="00A70D68"/>
    <w:rsid w:val="00A7307D"/>
    <w:rsid w:val="00A737E3"/>
    <w:rsid w:val="00A74545"/>
    <w:rsid w:val="00A765CE"/>
    <w:rsid w:val="00A76F47"/>
    <w:rsid w:val="00A812A2"/>
    <w:rsid w:val="00A820D5"/>
    <w:rsid w:val="00A8558F"/>
    <w:rsid w:val="00A85AF9"/>
    <w:rsid w:val="00A87ED7"/>
    <w:rsid w:val="00A91016"/>
    <w:rsid w:val="00A93B46"/>
    <w:rsid w:val="00A9421A"/>
    <w:rsid w:val="00A96CF7"/>
    <w:rsid w:val="00A97681"/>
    <w:rsid w:val="00AA0246"/>
    <w:rsid w:val="00AA3E18"/>
    <w:rsid w:val="00AA5383"/>
    <w:rsid w:val="00AA5961"/>
    <w:rsid w:val="00AA7916"/>
    <w:rsid w:val="00AB1010"/>
    <w:rsid w:val="00AB12DB"/>
    <w:rsid w:val="00AB217C"/>
    <w:rsid w:val="00AB4974"/>
    <w:rsid w:val="00AB6D37"/>
    <w:rsid w:val="00AB7C57"/>
    <w:rsid w:val="00AC16C1"/>
    <w:rsid w:val="00AC1856"/>
    <w:rsid w:val="00AC1EA8"/>
    <w:rsid w:val="00AC1F3A"/>
    <w:rsid w:val="00AC2DDA"/>
    <w:rsid w:val="00AC46FF"/>
    <w:rsid w:val="00AC6589"/>
    <w:rsid w:val="00AC6904"/>
    <w:rsid w:val="00AC777C"/>
    <w:rsid w:val="00AD2AA5"/>
    <w:rsid w:val="00AD2BCB"/>
    <w:rsid w:val="00AD378D"/>
    <w:rsid w:val="00AD3DB5"/>
    <w:rsid w:val="00AD43E4"/>
    <w:rsid w:val="00AD46C1"/>
    <w:rsid w:val="00AD47D6"/>
    <w:rsid w:val="00AD6BBC"/>
    <w:rsid w:val="00AE1EE8"/>
    <w:rsid w:val="00AE2264"/>
    <w:rsid w:val="00AE48F0"/>
    <w:rsid w:val="00AE50AD"/>
    <w:rsid w:val="00AE5D31"/>
    <w:rsid w:val="00AF16D2"/>
    <w:rsid w:val="00AF1E79"/>
    <w:rsid w:val="00AF234B"/>
    <w:rsid w:val="00AF2736"/>
    <w:rsid w:val="00AF29B1"/>
    <w:rsid w:val="00AF2CBD"/>
    <w:rsid w:val="00AF3804"/>
    <w:rsid w:val="00AF4071"/>
    <w:rsid w:val="00AF5495"/>
    <w:rsid w:val="00AF5928"/>
    <w:rsid w:val="00AF5D6A"/>
    <w:rsid w:val="00AF6457"/>
    <w:rsid w:val="00AF711C"/>
    <w:rsid w:val="00B00BA3"/>
    <w:rsid w:val="00B00F2D"/>
    <w:rsid w:val="00B017F1"/>
    <w:rsid w:val="00B01922"/>
    <w:rsid w:val="00B01ABA"/>
    <w:rsid w:val="00B0354E"/>
    <w:rsid w:val="00B15294"/>
    <w:rsid w:val="00B1594C"/>
    <w:rsid w:val="00B167CE"/>
    <w:rsid w:val="00B16FD1"/>
    <w:rsid w:val="00B20274"/>
    <w:rsid w:val="00B20660"/>
    <w:rsid w:val="00B20CB0"/>
    <w:rsid w:val="00B21D29"/>
    <w:rsid w:val="00B220D3"/>
    <w:rsid w:val="00B22654"/>
    <w:rsid w:val="00B25E93"/>
    <w:rsid w:val="00B27F41"/>
    <w:rsid w:val="00B32BAC"/>
    <w:rsid w:val="00B331E3"/>
    <w:rsid w:val="00B34E1A"/>
    <w:rsid w:val="00B352A5"/>
    <w:rsid w:val="00B35A7C"/>
    <w:rsid w:val="00B35DD3"/>
    <w:rsid w:val="00B41E58"/>
    <w:rsid w:val="00B4307D"/>
    <w:rsid w:val="00B451E1"/>
    <w:rsid w:val="00B45FFE"/>
    <w:rsid w:val="00B50783"/>
    <w:rsid w:val="00B50B13"/>
    <w:rsid w:val="00B526A6"/>
    <w:rsid w:val="00B532E0"/>
    <w:rsid w:val="00B53747"/>
    <w:rsid w:val="00B54D7D"/>
    <w:rsid w:val="00B5537B"/>
    <w:rsid w:val="00B61D72"/>
    <w:rsid w:val="00B6472A"/>
    <w:rsid w:val="00B65672"/>
    <w:rsid w:val="00B66D14"/>
    <w:rsid w:val="00B67DDC"/>
    <w:rsid w:val="00B700A7"/>
    <w:rsid w:val="00B7185C"/>
    <w:rsid w:val="00B72B50"/>
    <w:rsid w:val="00B73204"/>
    <w:rsid w:val="00B73CFE"/>
    <w:rsid w:val="00B74224"/>
    <w:rsid w:val="00B75FEF"/>
    <w:rsid w:val="00B776BA"/>
    <w:rsid w:val="00B77859"/>
    <w:rsid w:val="00B82549"/>
    <w:rsid w:val="00B82A69"/>
    <w:rsid w:val="00B82D3F"/>
    <w:rsid w:val="00B83E53"/>
    <w:rsid w:val="00B842FF"/>
    <w:rsid w:val="00B84319"/>
    <w:rsid w:val="00B843D8"/>
    <w:rsid w:val="00B846EF"/>
    <w:rsid w:val="00B8565B"/>
    <w:rsid w:val="00B86916"/>
    <w:rsid w:val="00B873AB"/>
    <w:rsid w:val="00B87AD7"/>
    <w:rsid w:val="00B9034E"/>
    <w:rsid w:val="00B92966"/>
    <w:rsid w:val="00B9399F"/>
    <w:rsid w:val="00B93B69"/>
    <w:rsid w:val="00B97542"/>
    <w:rsid w:val="00B9754C"/>
    <w:rsid w:val="00BA110F"/>
    <w:rsid w:val="00BA1138"/>
    <w:rsid w:val="00BA15B2"/>
    <w:rsid w:val="00BA2FE5"/>
    <w:rsid w:val="00BA3881"/>
    <w:rsid w:val="00BA7FE5"/>
    <w:rsid w:val="00BB4950"/>
    <w:rsid w:val="00BB4D83"/>
    <w:rsid w:val="00BB5215"/>
    <w:rsid w:val="00BB589F"/>
    <w:rsid w:val="00BC2D3C"/>
    <w:rsid w:val="00BC3861"/>
    <w:rsid w:val="00BC38D9"/>
    <w:rsid w:val="00BC56BD"/>
    <w:rsid w:val="00BD0F59"/>
    <w:rsid w:val="00BD259F"/>
    <w:rsid w:val="00BD3927"/>
    <w:rsid w:val="00BD491B"/>
    <w:rsid w:val="00BD4D1C"/>
    <w:rsid w:val="00BD6415"/>
    <w:rsid w:val="00BD7718"/>
    <w:rsid w:val="00BE2EFB"/>
    <w:rsid w:val="00BE4784"/>
    <w:rsid w:val="00BE6F88"/>
    <w:rsid w:val="00BE76B6"/>
    <w:rsid w:val="00BE76CF"/>
    <w:rsid w:val="00BF0406"/>
    <w:rsid w:val="00BF27F4"/>
    <w:rsid w:val="00C0033D"/>
    <w:rsid w:val="00C009B2"/>
    <w:rsid w:val="00C01EDF"/>
    <w:rsid w:val="00C03D3F"/>
    <w:rsid w:val="00C03DF5"/>
    <w:rsid w:val="00C0410D"/>
    <w:rsid w:val="00C10EEF"/>
    <w:rsid w:val="00C1200E"/>
    <w:rsid w:val="00C124C0"/>
    <w:rsid w:val="00C13C81"/>
    <w:rsid w:val="00C13FD4"/>
    <w:rsid w:val="00C14D65"/>
    <w:rsid w:val="00C1554D"/>
    <w:rsid w:val="00C15DE6"/>
    <w:rsid w:val="00C16028"/>
    <w:rsid w:val="00C17FC5"/>
    <w:rsid w:val="00C20169"/>
    <w:rsid w:val="00C22A48"/>
    <w:rsid w:val="00C23AED"/>
    <w:rsid w:val="00C23D80"/>
    <w:rsid w:val="00C23F06"/>
    <w:rsid w:val="00C24063"/>
    <w:rsid w:val="00C24147"/>
    <w:rsid w:val="00C24E60"/>
    <w:rsid w:val="00C262CA"/>
    <w:rsid w:val="00C301D7"/>
    <w:rsid w:val="00C32F2F"/>
    <w:rsid w:val="00C3396F"/>
    <w:rsid w:val="00C36895"/>
    <w:rsid w:val="00C36FC3"/>
    <w:rsid w:val="00C42134"/>
    <w:rsid w:val="00C434ED"/>
    <w:rsid w:val="00C438B0"/>
    <w:rsid w:val="00C52B3E"/>
    <w:rsid w:val="00C52CCF"/>
    <w:rsid w:val="00C539A2"/>
    <w:rsid w:val="00C565C3"/>
    <w:rsid w:val="00C5702C"/>
    <w:rsid w:val="00C575A7"/>
    <w:rsid w:val="00C61AA3"/>
    <w:rsid w:val="00C63DBA"/>
    <w:rsid w:val="00C70446"/>
    <w:rsid w:val="00C7076B"/>
    <w:rsid w:val="00C70D39"/>
    <w:rsid w:val="00C72BDA"/>
    <w:rsid w:val="00C73E20"/>
    <w:rsid w:val="00C74A2C"/>
    <w:rsid w:val="00C75279"/>
    <w:rsid w:val="00C752B3"/>
    <w:rsid w:val="00C75431"/>
    <w:rsid w:val="00C803CA"/>
    <w:rsid w:val="00C803CC"/>
    <w:rsid w:val="00C817E0"/>
    <w:rsid w:val="00C8276D"/>
    <w:rsid w:val="00C85ED8"/>
    <w:rsid w:val="00C86585"/>
    <w:rsid w:val="00C930D7"/>
    <w:rsid w:val="00C94E2B"/>
    <w:rsid w:val="00C961A3"/>
    <w:rsid w:val="00C9666B"/>
    <w:rsid w:val="00CA1C8B"/>
    <w:rsid w:val="00CA504E"/>
    <w:rsid w:val="00CB10CA"/>
    <w:rsid w:val="00CB248B"/>
    <w:rsid w:val="00CB4A19"/>
    <w:rsid w:val="00CB6237"/>
    <w:rsid w:val="00CB75EF"/>
    <w:rsid w:val="00CC0B7F"/>
    <w:rsid w:val="00CC34EC"/>
    <w:rsid w:val="00CC4CDE"/>
    <w:rsid w:val="00CD028D"/>
    <w:rsid w:val="00CD3FA9"/>
    <w:rsid w:val="00CD54A0"/>
    <w:rsid w:val="00CD7923"/>
    <w:rsid w:val="00CE0948"/>
    <w:rsid w:val="00CE4824"/>
    <w:rsid w:val="00CE494A"/>
    <w:rsid w:val="00CE5B12"/>
    <w:rsid w:val="00CE5E17"/>
    <w:rsid w:val="00CE6273"/>
    <w:rsid w:val="00CE62CF"/>
    <w:rsid w:val="00CE7E8D"/>
    <w:rsid w:val="00CF0A0C"/>
    <w:rsid w:val="00CF579A"/>
    <w:rsid w:val="00CF65E8"/>
    <w:rsid w:val="00CF6BC6"/>
    <w:rsid w:val="00CF7130"/>
    <w:rsid w:val="00D0031F"/>
    <w:rsid w:val="00D01AC1"/>
    <w:rsid w:val="00D0206F"/>
    <w:rsid w:val="00D03659"/>
    <w:rsid w:val="00D06682"/>
    <w:rsid w:val="00D10387"/>
    <w:rsid w:val="00D135E2"/>
    <w:rsid w:val="00D156E1"/>
    <w:rsid w:val="00D20A7A"/>
    <w:rsid w:val="00D2120F"/>
    <w:rsid w:val="00D22B7D"/>
    <w:rsid w:val="00D22BB6"/>
    <w:rsid w:val="00D2566E"/>
    <w:rsid w:val="00D263FA"/>
    <w:rsid w:val="00D26DA6"/>
    <w:rsid w:val="00D31D36"/>
    <w:rsid w:val="00D33CF5"/>
    <w:rsid w:val="00D347F6"/>
    <w:rsid w:val="00D35AAC"/>
    <w:rsid w:val="00D35F52"/>
    <w:rsid w:val="00D36834"/>
    <w:rsid w:val="00D41BB3"/>
    <w:rsid w:val="00D425E0"/>
    <w:rsid w:val="00D42F64"/>
    <w:rsid w:val="00D462D1"/>
    <w:rsid w:val="00D53950"/>
    <w:rsid w:val="00D54762"/>
    <w:rsid w:val="00D57A71"/>
    <w:rsid w:val="00D57B42"/>
    <w:rsid w:val="00D6205D"/>
    <w:rsid w:val="00D64B97"/>
    <w:rsid w:val="00D65236"/>
    <w:rsid w:val="00D65326"/>
    <w:rsid w:val="00D65C60"/>
    <w:rsid w:val="00D7181C"/>
    <w:rsid w:val="00D74E1B"/>
    <w:rsid w:val="00D763E1"/>
    <w:rsid w:val="00D76715"/>
    <w:rsid w:val="00D76A95"/>
    <w:rsid w:val="00D76D25"/>
    <w:rsid w:val="00D87DA9"/>
    <w:rsid w:val="00D91701"/>
    <w:rsid w:val="00D91C0F"/>
    <w:rsid w:val="00DA0CA3"/>
    <w:rsid w:val="00DA2ED7"/>
    <w:rsid w:val="00DA650E"/>
    <w:rsid w:val="00DB0944"/>
    <w:rsid w:val="00DB0B24"/>
    <w:rsid w:val="00DB3121"/>
    <w:rsid w:val="00DB3FBA"/>
    <w:rsid w:val="00DB4175"/>
    <w:rsid w:val="00DB4791"/>
    <w:rsid w:val="00DB5102"/>
    <w:rsid w:val="00DB5756"/>
    <w:rsid w:val="00DC0066"/>
    <w:rsid w:val="00DC1624"/>
    <w:rsid w:val="00DC1785"/>
    <w:rsid w:val="00DC1881"/>
    <w:rsid w:val="00DC4452"/>
    <w:rsid w:val="00DC6088"/>
    <w:rsid w:val="00DC686E"/>
    <w:rsid w:val="00DC7567"/>
    <w:rsid w:val="00DD3EC0"/>
    <w:rsid w:val="00DD5930"/>
    <w:rsid w:val="00DD746C"/>
    <w:rsid w:val="00DE1C73"/>
    <w:rsid w:val="00DE2505"/>
    <w:rsid w:val="00DE2575"/>
    <w:rsid w:val="00DE3300"/>
    <w:rsid w:val="00DE4BD2"/>
    <w:rsid w:val="00DE5894"/>
    <w:rsid w:val="00DF03CE"/>
    <w:rsid w:val="00DF07CC"/>
    <w:rsid w:val="00DF1188"/>
    <w:rsid w:val="00DF1E6B"/>
    <w:rsid w:val="00DF47F5"/>
    <w:rsid w:val="00DF5106"/>
    <w:rsid w:val="00DF69E2"/>
    <w:rsid w:val="00DF79E4"/>
    <w:rsid w:val="00E03CD3"/>
    <w:rsid w:val="00E17EBA"/>
    <w:rsid w:val="00E2133F"/>
    <w:rsid w:val="00E257F5"/>
    <w:rsid w:val="00E31F72"/>
    <w:rsid w:val="00E32576"/>
    <w:rsid w:val="00E34935"/>
    <w:rsid w:val="00E3544D"/>
    <w:rsid w:val="00E36F9F"/>
    <w:rsid w:val="00E37CE2"/>
    <w:rsid w:val="00E41404"/>
    <w:rsid w:val="00E4169D"/>
    <w:rsid w:val="00E45059"/>
    <w:rsid w:val="00E452C5"/>
    <w:rsid w:val="00E46B0E"/>
    <w:rsid w:val="00E471D0"/>
    <w:rsid w:val="00E51316"/>
    <w:rsid w:val="00E546C4"/>
    <w:rsid w:val="00E54CB8"/>
    <w:rsid w:val="00E57313"/>
    <w:rsid w:val="00E64537"/>
    <w:rsid w:val="00E64FFD"/>
    <w:rsid w:val="00E65210"/>
    <w:rsid w:val="00E657AC"/>
    <w:rsid w:val="00E65C75"/>
    <w:rsid w:val="00E67681"/>
    <w:rsid w:val="00E71862"/>
    <w:rsid w:val="00E72FAC"/>
    <w:rsid w:val="00E74109"/>
    <w:rsid w:val="00E818F4"/>
    <w:rsid w:val="00E81CDD"/>
    <w:rsid w:val="00E83CC4"/>
    <w:rsid w:val="00E8431E"/>
    <w:rsid w:val="00E84653"/>
    <w:rsid w:val="00E87C76"/>
    <w:rsid w:val="00E905AA"/>
    <w:rsid w:val="00E91F84"/>
    <w:rsid w:val="00E92D42"/>
    <w:rsid w:val="00E95930"/>
    <w:rsid w:val="00E976F9"/>
    <w:rsid w:val="00E9793A"/>
    <w:rsid w:val="00E97F15"/>
    <w:rsid w:val="00EA7673"/>
    <w:rsid w:val="00EA7CA6"/>
    <w:rsid w:val="00EB0FF7"/>
    <w:rsid w:val="00EB32F9"/>
    <w:rsid w:val="00EB3989"/>
    <w:rsid w:val="00EB4FD2"/>
    <w:rsid w:val="00EB735E"/>
    <w:rsid w:val="00EC05D9"/>
    <w:rsid w:val="00EC22A4"/>
    <w:rsid w:val="00EC2BD5"/>
    <w:rsid w:val="00EC2DF4"/>
    <w:rsid w:val="00EC3463"/>
    <w:rsid w:val="00EC5E3B"/>
    <w:rsid w:val="00ED0161"/>
    <w:rsid w:val="00ED13A2"/>
    <w:rsid w:val="00ED16C3"/>
    <w:rsid w:val="00ED212A"/>
    <w:rsid w:val="00ED46D9"/>
    <w:rsid w:val="00ED729D"/>
    <w:rsid w:val="00EE05AD"/>
    <w:rsid w:val="00EE0B60"/>
    <w:rsid w:val="00EE11F5"/>
    <w:rsid w:val="00EE1527"/>
    <w:rsid w:val="00EE4FDA"/>
    <w:rsid w:val="00EE5630"/>
    <w:rsid w:val="00EE5E7B"/>
    <w:rsid w:val="00EF641A"/>
    <w:rsid w:val="00EF6ACC"/>
    <w:rsid w:val="00F03790"/>
    <w:rsid w:val="00F05AB2"/>
    <w:rsid w:val="00F07439"/>
    <w:rsid w:val="00F07FCF"/>
    <w:rsid w:val="00F110CC"/>
    <w:rsid w:val="00F12CD0"/>
    <w:rsid w:val="00F13556"/>
    <w:rsid w:val="00F16F7E"/>
    <w:rsid w:val="00F1788B"/>
    <w:rsid w:val="00F209EC"/>
    <w:rsid w:val="00F23C34"/>
    <w:rsid w:val="00F23D4F"/>
    <w:rsid w:val="00F26137"/>
    <w:rsid w:val="00F32560"/>
    <w:rsid w:val="00F3328B"/>
    <w:rsid w:val="00F33A9A"/>
    <w:rsid w:val="00F37585"/>
    <w:rsid w:val="00F41EA4"/>
    <w:rsid w:val="00F43C2C"/>
    <w:rsid w:val="00F4433B"/>
    <w:rsid w:val="00F45BFD"/>
    <w:rsid w:val="00F474C1"/>
    <w:rsid w:val="00F50E34"/>
    <w:rsid w:val="00F50FFE"/>
    <w:rsid w:val="00F5209B"/>
    <w:rsid w:val="00F527E3"/>
    <w:rsid w:val="00F54472"/>
    <w:rsid w:val="00F5499B"/>
    <w:rsid w:val="00F54A3D"/>
    <w:rsid w:val="00F618C2"/>
    <w:rsid w:val="00F62699"/>
    <w:rsid w:val="00F64581"/>
    <w:rsid w:val="00F66A20"/>
    <w:rsid w:val="00F707D4"/>
    <w:rsid w:val="00F7575A"/>
    <w:rsid w:val="00F759E8"/>
    <w:rsid w:val="00F76140"/>
    <w:rsid w:val="00F819F4"/>
    <w:rsid w:val="00F83550"/>
    <w:rsid w:val="00F8523F"/>
    <w:rsid w:val="00F85893"/>
    <w:rsid w:val="00F85EB6"/>
    <w:rsid w:val="00F86300"/>
    <w:rsid w:val="00F86F0E"/>
    <w:rsid w:val="00F870B6"/>
    <w:rsid w:val="00F90560"/>
    <w:rsid w:val="00F90C99"/>
    <w:rsid w:val="00F91E38"/>
    <w:rsid w:val="00F924C4"/>
    <w:rsid w:val="00F927B4"/>
    <w:rsid w:val="00F92CFF"/>
    <w:rsid w:val="00FA4337"/>
    <w:rsid w:val="00FA475B"/>
    <w:rsid w:val="00FA6E99"/>
    <w:rsid w:val="00FB02BD"/>
    <w:rsid w:val="00FB0BFB"/>
    <w:rsid w:val="00FB3AE3"/>
    <w:rsid w:val="00FB643A"/>
    <w:rsid w:val="00FB733E"/>
    <w:rsid w:val="00FC0C7C"/>
    <w:rsid w:val="00FC175D"/>
    <w:rsid w:val="00FC2320"/>
    <w:rsid w:val="00FC2739"/>
    <w:rsid w:val="00FC39A8"/>
    <w:rsid w:val="00FC5CCB"/>
    <w:rsid w:val="00FC7211"/>
    <w:rsid w:val="00FC7618"/>
    <w:rsid w:val="00FD1271"/>
    <w:rsid w:val="00FD138D"/>
    <w:rsid w:val="00FD396A"/>
    <w:rsid w:val="00FD5FE8"/>
    <w:rsid w:val="00FD6C50"/>
    <w:rsid w:val="00FE09F5"/>
    <w:rsid w:val="00FE13C9"/>
    <w:rsid w:val="00FF0706"/>
    <w:rsid w:val="00FF0CD7"/>
    <w:rsid w:val="00FF3209"/>
    <w:rsid w:val="00FF3BBE"/>
    <w:rsid w:val="00FF4956"/>
    <w:rsid w:val="00FF4BDC"/>
    <w:rsid w:val="00FF5CF9"/>
    <w:rsid w:val="00FF5D3C"/>
    <w:rsid w:val="00FF78F4"/>
    <w:rsid w:val="01192695"/>
    <w:rsid w:val="01278713"/>
    <w:rsid w:val="0127D85C"/>
    <w:rsid w:val="014A935F"/>
    <w:rsid w:val="0316ED2D"/>
    <w:rsid w:val="0370CFAA"/>
    <w:rsid w:val="04741A83"/>
    <w:rsid w:val="04F9F91A"/>
    <w:rsid w:val="051047CF"/>
    <w:rsid w:val="0564935A"/>
    <w:rsid w:val="05A4C93A"/>
    <w:rsid w:val="0646F38E"/>
    <w:rsid w:val="0701C99F"/>
    <w:rsid w:val="080147F4"/>
    <w:rsid w:val="0815728A"/>
    <w:rsid w:val="0857A6F2"/>
    <w:rsid w:val="08B575BF"/>
    <w:rsid w:val="09F71A97"/>
    <w:rsid w:val="0B20D5EC"/>
    <w:rsid w:val="0B9D6D90"/>
    <w:rsid w:val="0D7B23B8"/>
    <w:rsid w:val="0DE5F1BD"/>
    <w:rsid w:val="11018243"/>
    <w:rsid w:val="1149C303"/>
    <w:rsid w:val="116CE23A"/>
    <w:rsid w:val="120DF269"/>
    <w:rsid w:val="128584EF"/>
    <w:rsid w:val="13A15AEC"/>
    <w:rsid w:val="1463CC49"/>
    <w:rsid w:val="146B4725"/>
    <w:rsid w:val="161BBD34"/>
    <w:rsid w:val="16D66B32"/>
    <w:rsid w:val="17B07CE6"/>
    <w:rsid w:val="1820F361"/>
    <w:rsid w:val="18918B62"/>
    <w:rsid w:val="19099422"/>
    <w:rsid w:val="1A291C6E"/>
    <w:rsid w:val="1A990C35"/>
    <w:rsid w:val="1B4F20E1"/>
    <w:rsid w:val="1B89887B"/>
    <w:rsid w:val="1BC37BCB"/>
    <w:rsid w:val="1BE9664E"/>
    <w:rsid w:val="1C3B62AB"/>
    <w:rsid w:val="1DD6F403"/>
    <w:rsid w:val="1E1BB3DE"/>
    <w:rsid w:val="1E4EF23A"/>
    <w:rsid w:val="1E533AF0"/>
    <w:rsid w:val="1F485B36"/>
    <w:rsid w:val="20039072"/>
    <w:rsid w:val="206E7359"/>
    <w:rsid w:val="20D2EED0"/>
    <w:rsid w:val="2137B587"/>
    <w:rsid w:val="213E4769"/>
    <w:rsid w:val="21DD9C78"/>
    <w:rsid w:val="227E1F27"/>
    <w:rsid w:val="22BCBB6B"/>
    <w:rsid w:val="22FE0EC2"/>
    <w:rsid w:val="23591FFC"/>
    <w:rsid w:val="236ADE72"/>
    <w:rsid w:val="236D6210"/>
    <w:rsid w:val="237D5899"/>
    <w:rsid w:val="23FC1004"/>
    <w:rsid w:val="242C45F3"/>
    <w:rsid w:val="25A7DD5A"/>
    <w:rsid w:val="26686C96"/>
    <w:rsid w:val="2802EA4D"/>
    <w:rsid w:val="2881BDDA"/>
    <w:rsid w:val="28B503AC"/>
    <w:rsid w:val="297CEC53"/>
    <w:rsid w:val="29828D7F"/>
    <w:rsid w:val="2A0C679A"/>
    <w:rsid w:val="2A57FD01"/>
    <w:rsid w:val="2A6D9660"/>
    <w:rsid w:val="2A7970AB"/>
    <w:rsid w:val="2B05414E"/>
    <w:rsid w:val="2B2630F8"/>
    <w:rsid w:val="2B2A50FA"/>
    <w:rsid w:val="2B3CB867"/>
    <w:rsid w:val="2C0D1314"/>
    <w:rsid w:val="2C368722"/>
    <w:rsid w:val="2C91D000"/>
    <w:rsid w:val="2E27B73D"/>
    <w:rsid w:val="2E39D37E"/>
    <w:rsid w:val="2E8B4BEF"/>
    <w:rsid w:val="2F554B65"/>
    <w:rsid w:val="2F9F57A1"/>
    <w:rsid w:val="30430F74"/>
    <w:rsid w:val="305F32AD"/>
    <w:rsid w:val="31FA3497"/>
    <w:rsid w:val="320F22DB"/>
    <w:rsid w:val="342383F5"/>
    <w:rsid w:val="34CA281D"/>
    <w:rsid w:val="34E16DF8"/>
    <w:rsid w:val="35611D03"/>
    <w:rsid w:val="3671DE65"/>
    <w:rsid w:val="3803F4E5"/>
    <w:rsid w:val="38DB702B"/>
    <w:rsid w:val="38DE3FF1"/>
    <w:rsid w:val="38DE8F2F"/>
    <w:rsid w:val="39AEB168"/>
    <w:rsid w:val="3A42EC08"/>
    <w:rsid w:val="3C3BBAF8"/>
    <w:rsid w:val="3CC13F31"/>
    <w:rsid w:val="3D870A85"/>
    <w:rsid w:val="3D91EC68"/>
    <w:rsid w:val="3DFC697F"/>
    <w:rsid w:val="3E7028FB"/>
    <w:rsid w:val="3EF70AB4"/>
    <w:rsid w:val="3F25FB2F"/>
    <w:rsid w:val="3F322669"/>
    <w:rsid w:val="41E4C243"/>
    <w:rsid w:val="427DEBAE"/>
    <w:rsid w:val="42E0CEBB"/>
    <w:rsid w:val="43137595"/>
    <w:rsid w:val="44D86AF0"/>
    <w:rsid w:val="4630AD34"/>
    <w:rsid w:val="47F479C2"/>
    <w:rsid w:val="484A7CC0"/>
    <w:rsid w:val="48C8CB56"/>
    <w:rsid w:val="48EA9C19"/>
    <w:rsid w:val="491EAEF2"/>
    <w:rsid w:val="496D9C5B"/>
    <w:rsid w:val="4C414BDE"/>
    <w:rsid w:val="4C7D7B7E"/>
    <w:rsid w:val="4C9E8F22"/>
    <w:rsid w:val="4CA76B6A"/>
    <w:rsid w:val="4D2525C4"/>
    <w:rsid w:val="4DDE7868"/>
    <w:rsid w:val="4F4D9AA6"/>
    <w:rsid w:val="4FDC895D"/>
    <w:rsid w:val="4FF95B32"/>
    <w:rsid w:val="51183269"/>
    <w:rsid w:val="51684E96"/>
    <w:rsid w:val="51690E34"/>
    <w:rsid w:val="51B6F18B"/>
    <w:rsid w:val="530973EC"/>
    <w:rsid w:val="53245815"/>
    <w:rsid w:val="53B682FC"/>
    <w:rsid w:val="53C96303"/>
    <w:rsid w:val="541D24B7"/>
    <w:rsid w:val="5525A864"/>
    <w:rsid w:val="552DBC41"/>
    <w:rsid w:val="563CC7F3"/>
    <w:rsid w:val="57C8B752"/>
    <w:rsid w:val="5883D38F"/>
    <w:rsid w:val="58E37D14"/>
    <w:rsid w:val="596D01F1"/>
    <w:rsid w:val="598E6937"/>
    <w:rsid w:val="59E44D1D"/>
    <w:rsid w:val="5A7C8E3D"/>
    <w:rsid w:val="5B57AD4E"/>
    <w:rsid w:val="5C4AA999"/>
    <w:rsid w:val="5C6F1BE2"/>
    <w:rsid w:val="5C8B36C0"/>
    <w:rsid w:val="5CF2860C"/>
    <w:rsid w:val="5E4DF5FF"/>
    <w:rsid w:val="5EC22394"/>
    <w:rsid w:val="5FD87A0B"/>
    <w:rsid w:val="6000529E"/>
    <w:rsid w:val="62456770"/>
    <w:rsid w:val="6248C88D"/>
    <w:rsid w:val="62ACD62D"/>
    <w:rsid w:val="64142F61"/>
    <w:rsid w:val="64764435"/>
    <w:rsid w:val="65199098"/>
    <w:rsid w:val="657645E1"/>
    <w:rsid w:val="65B6BF17"/>
    <w:rsid w:val="65E2AA96"/>
    <w:rsid w:val="663EC855"/>
    <w:rsid w:val="6672AFB1"/>
    <w:rsid w:val="66DBCC32"/>
    <w:rsid w:val="67391E12"/>
    <w:rsid w:val="69B82EB0"/>
    <w:rsid w:val="6A868DDA"/>
    <w:rsid w:val="6BA71C3B"/>
    <w:rsid w:val="6C25A0BA"/>
    <w:rsid w:val="6C45420E"/>
    <w:rsid w:val="6CAAD940"/>
    <w:rsid w:val="6D91D9B2"/>
    <w:rsid w:val="6DED2FD3"/>
    <w:rsid w:val="6FC5C048"/>
    <w:rsid w:val="702B651A"/>
    <w:rsid w:val="70C34E6F"/>
    <w:rsid w:val="711D8152"/>
    <w:rsid w:val="71457C0E"/>
    <w:rsid w:val="71763CDC"/>
    <w:rsid w:val="7236BDDA"/>
    <w:rsid w:val="72526B09"/>
    <w:rsid w:val="728BAC2F"/>
    <w:rsid w:val="73B49706"/>
    <w:rsid w:val="73BFE73D"/>
    <w:rsid w:val="751D4B78"/>
    <w:rsid w:val="75AD7B65"/>
    <w:rsid w:val="765360F2"/>
    <w:rsid w:val="78E77AC6"/>
    <w:rsid w:val="79B0CF78"/>
    <w:rsid w:val="7D40D3E1"/>
    <w:rsid w:val="7DD72B0D"/>
    <w:rsid w:val="7E1ADFDE"/>
    <w:rsid w:val="7E3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8E5D"/>
  <w15:docId w15:val="{0F88CBC0-0AF0-48B3-AF0F-DC0CCE4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0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6487F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670FAE"/>
  </w:style>
  <w:style w:type="character" w:customStyle="1" w:styleId="PodnojeChar">
    <w:name w:val="Podnožje Char"/>
    <w:basedOn w:val="Zadanifontodlomka"/>
    <w:link w:val="Podnoje"/>
    <w:uiPriority w:val="99"/>
    <w:qFormat/>
    <w:rsid w:val="00670FAE"/>
  </w:style>
  <w:style w:type="character" w:styleId="Referencakomentara">
    <w:name w:val="annotation reference"/>
    <w:basedOn w:val="Zadanifontodlomka"/>
    <w:uiPriority w:val="99"/>
    <w:semiHidden/>
    <w:unhideWhenUsed/>
    <w:qFormat/>
    <w:rsid w:val="00BC559B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BC559B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BC559B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CE079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795"/>
    <w:rPr>
      <w:color w:val="954F72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648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869F6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unhideWhenUsed/>
    <w:qFormat/>
    <w:rsid w:val="00BC559B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BC559B"/>
    <w:rPr>
      <w:b/>
      <w:bCs/>
    </w:rPr>
  </w:style>
  <w:style w:type="paragraph" w:styleId="StandardWeb">
    <w:name w:val="Normal (Web)"/>
    <w:basedOn w:val="Normal"/>
    <w:uiPriority w:val="99"/>
    <w:semiHidden/>
    <w:unhideWhenUsed/>
    <w:qFormat/>
    <w:rsid w:val="00BC55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sonormal0">
    <w:name w:val="msonormal"/>
    <w:basedOn w:val="Normal"/>
    <w:qFormat/>
    <w:rsid w:val="00CE079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qFormat/>
    <w:rsid w:val="00CE079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qFormat/>
    <w:rsid w:val="00CE079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qFormat/>
    <w:rsid w:val="00CE0795"/>
    <w:pPr>
      <w:shd w:val="clear" w:color="000000" w:fill="000080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qFormat/>
    <w:rsid w:val="00CE0795"/>
    <w:pPr>
      <w:shd w:val="clear" w:color="000000" w:fill="000080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qFormat/>
    <w:rsid w:val="00CE0795"/>
    <w:pPr>
      <w:shd w:val="clear" w:color="000000" w:fill="0000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qFormat/>
    <w:rsid w:val="00CE0795"/>
    <w:pPr>
      <w:shd w:val="clear" w:color="000000" w:fill="0000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qFormat/>
    <w:rsid w:val="00CE0795"/>
    <w:pPr>
      <w:shd w:val="clear" w:color="000000" w:fill="3366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qFormat/>
    <w:rsid w:val="00CE0795"/>
    <w:pPr>
      <w:shd w:val="clear" w:color="000000" w:fill="3366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qFormat/>
    <w:rsid w:val="00CE0795"/>
    <w:pPr>
      <w:shd w:val="clear" w:color="000000" w:fill="FFFF99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qFormat/>
    <w:rsid w:val="00CE0795"/>
    <w:pPr>
      <w:shd w:val="clear" w:color="000000" w:fill="FFFF99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16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E046-C292-4DD6-9144-0EA68D3E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3922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Milena</cp:lastModifiedBy>
  <cp:revision>2</cp:revision>
  <cp:lastPrinted>2021-11-19T03:24:00Z</cp:lastPrinted>
  <dcterms:created xsi:type="dcterms:W3CDTF">2025-10-06T10:50:00Z</dcterms:created>
  <dcterms:modified xsi:type="dcterms:W3CDTF">2025-10-06T10:50:00Z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f1fc97fae45745c25f801d80c00eaa4b15ba9ecd33e211292f5b676e17bbd36c</vt:lpwstr>
  </property>
</Properties>
</file>